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572F" w14:textId="48781BDA" w:rsidR="00B224A5" w:rsidRPr="003A383F" w:rsidRDefault="009D71E8" w:rsidP="00A0305B">
      <w:pPr>
        <w:pStyle w:val="Heading1"/>
        <w:jc w:val="center"/>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7F7E40">
        <w:t xml:space="preserve"> 2022-2</w:t>
      </w:r>
      <w:r w:rsidR="003A383F">
        <w:t>3</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BAE414A"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670BA699" w14:textId="487775A3" w:rsidR="00A0305B" w:rsidRPr="00A0305B" w:rsidRDefault="00CA67D5" w:rsidP="00A0305B">
      <w:r>
        <w:t>This strategy is currently awaiting approval by the governing body</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4B49DB5" w:rsidR="00E66558" w:rsidRPr="00924FCA" w:rsidRDefault="000137C0" w:rsidP="000137C0">
            <w:pPr>
              <w:pStyle w:val="TableRow"/>
              <w:ind w:left="0"/>
              <w:rPr>
                <w:color w:val="auto"/>
              </w:rPr>
            </w:pPr>
            <w:r w:rsidRPr="00924FCA">
              <w:rPr>
                <w:color w:val="auto"/>
              </w:rPr>
              <w:t xml:space="preserve">St Mary’s Catholic Junior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6A05B894" w:rsidR="00E66558" w:rsidRDefault="009D71E8">
            <w:pPr>
              <w:pStyle w:val="TableRow"/>
            </w:pPr>
            <w:r w:rsidRPr="0082596F">
              <w:t>Number of pupils in school</w:t>
            </w:r>
            <w: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4B152BA" w:rsidR="002243A4" w:rsidRPr="00924FCA" w:rsidRDefault="002243A4" w:rsidP="00924FCA">
            <w:pPr>
              <w:pStyle w:val="TableRow"/>
              <w:ind w:left="0"/>
              <w:rPr>
                <w:color w:val="auto"/>
              </w:rPr>
            </w:pPr>
            <w:r w:rsidRPr="00924FCA">
              <w:rPr>
                <w:color w:val="auto"/>
              </w:rPr>
              <w:t>234 (Autumn 22</w:t>
            </w:r>
            <w:r w:rsidR="000A3EF9" w:rsidRPr="00924FCA">
              <w:rPr>
                <w:color w:val="auto"/>
              </w:rPr>
              <w:t>)</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CDC0680" w:rsidR="002A6AE9" w:rsidRPr="00924FCA" w:rsidRDefault="002A6AE9" w:rsidP="00924FCA">
            <w:pPr>
              <w:pStyle w:val="TableRow"/>
              <w:ind w:left="0"/>
              <w:rPr>
                <w:color w:val="auto"/>
              </w:rPr>
            </w:pPr>
            <w:r w:rsidRPr="00924FCA">
              <w:rPr>
                <w:color w:val="auto"/>
              </w:rPr>
              <w:t>52 pupils (</w:t>
            </w:r>
            <w:r w:rsidR="00E12EB6" w:rsidRPr="00924FCA">
              <w:rPr>
                <w:color w:val="auto"/>
              </w:rPr>
              <w:t>22.22%)</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4A2163F9"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5EF62CD" w:rsidR="004F2C6D" w:rsidRPr="00924FCA" w:rsidRDefault="00A0305B" w:rsidP="000137C0">
            <w:pPr>
              <w:pStyle w:val="TableRow"/>
              <w:ind w:left="0"/>
              <w:rPr>
                <w:color w:val="auto"/>
              </w:rPr>
            </w:pPr>
            <w:r>
              <w:rPr>
                <w:color w:val="auto"/>
              </w:rPr>
              <w:t>2022-2025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sidRPr="003F330D">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E080458" w:rsidR="00E66558" w:rsidRDefault="004F2C6D" w:rsidP="00FF6257">
            <w:pPr>
              <w:pStyle w:val="TableRow"/>
              <w:ind w:left="0"/>
            </w:pPr>
            <w:r>
              <w:t>Autumn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1B12342" w:rsidR="00062DCE" w:rsidRDefault="004F2C6D" w:rsidP="000137C0">
            <w:pPr>
              <w:pStyle w:val="TableRow"/>
              <w:ind w:left="0"/>
            </w:pPr>
            <w:r>
              <w:t>June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6B177F2" w:rsidR="00E66558" w:rsidRDefault="000825D5" w:rsidP="000137C0">
            <w:pPr>
              <w:pStyle w:val="TableRow"/>
              <w:ind w:left="0"/>
            </w:pPr>
            <w:r>
              <w:t>John Daley</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643AC2F" w:rsidR="00E66558" w:rsidRDefault="000137C0" w:rsidP="00FF6257">
            <w:pPr>
              <w:pStyle w:val="TableRow"/>
              <w:ind w:left="0"/>
            </w:pPr>
            <w:r>
              <w:t>Nicola Follin</w:t>
            </w:r>
            <w:r w:rsidR="000825D5">
              <w:t>/John Daley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373E3FD" w:rsidR="00E66558" w:rsidRDefault="000825D5" w:rsidP="00FF6257">
            <w:pPr>
              <w:pStyle w:val="TableRow"/>
              <w:ind w:left="0"/>
            </w:pPr>
            <w:r>
              <w:t>Gill Tuck</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3655535" w:rsidR="00E66558" w:rsidRPr="00DA6D53" w:rsidRDefault="009D71E8">
            <w:pPr>
              <w:pStyle w:val="TableRow"/>
              <w:rPr>
                <w:rFonts w:cs="Arial"/>
              </w:rPr>
            </w:pPr>
            <w:r w:rsidRPr="00DA6D53">
              <w:rPr>
                <w:rFonts w:cs="Arial"/>
              </w:rPr>
              <w:t>£</w:t>
            </w:r>
            <w:r w:rsidR="00601C96" w:rsidRPr="00DA6D53">
              <w:rPr>
                <w:rFonts w:cs="Arial"/>
                <w:color w:val="000000"/>
                <w:shd w:val="clear" w:color="auto" w:fill="FFFFFF"/>
              </w:rPr>
              <w:t>62</w:t>
            </w:r>
            <w:r w:rsidR="00DF4F04">
              <w:rPr>
                <w:rFonts w:cs="Arial"/>
                <w:color w:val="000000"/>
                <w:shd w:val="clear" w:color="auto" w:fill="FFFFFF"/>
              </w:rPr>
              <w:t>965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601C96" w:rsidRDefault="009D71E8">
            <w:pPr>
              <w:pStyle w:val="TableRow"/>
            </w:pPr>
            <w:r w:rsidRPr="00601C96">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4030D6" w:rsidR="00E66558" w:rsidRPr="00DA6D53" w:rsidRDefault="009D71E8">
            <w:pPr>
              <w:pStyle w:val="TableRow"/>
              <w:rPr>
                <w:rFonts w:cs="Arial"/>
              </w:rPr>
            </w:pPr>
            <w:r w:rsidRPr="00DA6D53">
              <w:rPr>
                <w:rFonts w:cs="Arial"/>
              </w:rPr>
              <w:t>£</w:t>
            </w:r>
            <w:r w:rsidR="009803F2">
              <w:rPr>
                <w:rFonts w:cs="Arial"/>
              </w:rPr>
              <w:t>3299 + SLT £3780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316CD" w:rsidRDefault="009D71E8">
            <w:pPr>
              <w:pStyle w:val="TableRow"/>
              <w:rPr>
                <w:highlight w:val="yellow"/>
              </w:rPr>
            </w:pPr>
            <w:r w:rsidRPr="00F80B4F">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7B7A284" w:rsidR="00E66558" w:rsidRPr="003316CD" w:rsidRDefault="00F80B4F">
            <w:pPr>
              <w:pStyle w:val="TableRow"/>
              <w:rPr>
                <w:rFonts w:cs="Arial"/>
                <w:highlight w:val="yellow"/>
              </w:rPr>
            </w:pPr>
            <w:r w:rsidRPr="00F80B4F">
              <w:rPr>
                <w:rFonts w:cs="Arial"/>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F80B4F" w:rsidRDefault="009D71E8">
            <w:pPr>
              <w:pStyle w:val="TableRow"/>
              <w:rPr>
                <w:b/>
              </w:rPr>
            </w:pPr>
            <w:r w:rsidRPr="00F80B4F">
              <w:rPr>
                <w:b/>
              </w:rPr>
              <w:t>Total budget for this academic year</w:t>
            </w:r>
          </w:p>
          <w:p w14:paraId="2A7D54E1" w14:textId="3DA4B5E9" w:rsidR="00E66558" w:rsidRPr="00F80B4F"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1AC7A7F" w:rsidR="00E66558" w:rsidRPr="00F80B4F" w:rsidRDefault="00F80B4F">
            <w:pPr>
              <w:pStyle w:val="TableRow"/>
              <w:rPr>
                <w:rFonts w:cs="Arial"/>
              </w:rPr>
            </w:pPr>
            <w:r w:rsidRPr="00F80B4F">
              <w:rPr>
                <w:rFonts w:cs="Arial"/>
              </w:rPr>
              <w:t>£</w:t>
            </w:r>
            <w:r w:rsidR="00FF7E5C">
              <w:rPr>
                <w:rFonts w:cs="Arial"/>
              </w:rPr>
              <w:t>70,044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69A0C" w14:textId="02ABC420" w:rsidR="00FF6257" w:rsidRPr="00E27862" w:rsidRDefault="00136D11" w:rsidP="00FF6257">
            <w:pPr>
              <w:spacing w:before="120"/>
              <w:rPr>
                <w:rFonts w:cs="Arial"/>
                <w:iCs/>
                <w:color w:val="auto"/>
                <w:lang w:val="en-US"/>
              </w:rPr>
            </w:pPr>
            <w:r>
              <w:rPr>
                <w:rFonts w:cs="Arial"/>
                <w:iCs/>
                <w:color w:val="auto"/>
              </w:rPr>
              <w:t>At St Mary’s Catholic Junior School, it is our</w:t>
            </w:r>
            <w:r w:rsidR="00FF6257" w:rsidRPr="00E27862">
              <w:rPr>
                <w:rFonts w:cs="Arial"/>
                <w:iCs/>
                <w:color w:val="auto"/>
              </w:rPr>
              <w:t xml:space="preserve"> intention is that all pupils, irrespective of their background or the challenges they face, make good progress and achieve high attainment across all subject areas. </w:t>
            </w:r>
            <w:r w:rsidR="00FF6257" w:rsidRPr="00E27862">
              <w:rPr>
                <w:rFonts w:cs="Arial"/>
                <w:iCs/>
                <w:color w:val="auto"/>
                <w:lang w:val="en-US"/>
              </w:rPr>
              <w:t xml:space="preserve">The focus of our pupil premium strategy is to support disadvantaged pupils to achieve that goal, including progress for those who are already high attainers. </w:t>
            </w:r>
          </w:p>
          <w:p w14:paraId="78608D55" w14:textId="77777777" w:rsidR="00FF6257" w:rsidRPr="00E27862" w:rsidRDefault="00FF6257" w:rsidP="00FF6257">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The activity we have outlined in this statement is also intended to support their needs, regardless of whether they are disadvantaged or not.</w:t>
            </w:r>
          </w:p>
          <w:p w14:paraId="2B1AE0F4" w14:textId="77777777" w:rsidR="00FF6257" w:rsidRPr="00E27862" w:rsidRDefault="00FF6257" w:rsidP="00FF6257">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4134B9D9" w14:textId="3A41679F" w:rsidR="00FF6257" w:rsidRPr="00E27862" w:rsidRDefault="00FF6257" w:rsidP="00FF6257">
            <w:pPr>
              <w:rPr>
                <w:rFonts w:cs="Arial"/>
                <w:color w:val="auto"/>
              </w:rPr>
            </w:pPr>
            <w:r w:rsidRPr="00E27862">
              <w:rPr>
                <w:rFonts w:cs="Arial"/>
                <w:color w:val="auto"/>
              </w:rPr>
              <w:t xml:space="preserve">Our strategy is also integral to wider school plans for education recovery, notably in its targeted support through the </w:t>
            </w:r>
            <w:r w:rsidR="00376715">
              <w:rPr>
                <w:rFonts w:cs="Arial"/>
                <w:color w:val="auto"/>
              </w:rPr>
              <w:t>school led tutoring</w:t>
            </w:r>
            <w:r w:rsidRPr="00E27862">
              <w:rPr>
                <w:rFonts w:cs="Arial"/>
                <w:color w:val="auto"/>
              </w:rPr>
              <w:t xml:space="preserve"> for pupils whose education has been worst affected, including non-disadvantaged pupils.    </w:t>
            </w:r>
          </w:p>
          <w:p w14:paraId="1ECA7F11" w14:textId="77777777" w:rsidR="00FF6257" w:rsidRPr="00E27862" w:rsidRDefault="00FF6257" w:rsidP="00FF6257">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597982B8" w14:textId="77777777" w:rsidR="00FF6257" w:rsidRPr="00E27862" w:rsidRDefault="00FF6257" w:rsidP="00FF6257">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136C901C" w14:textId="77777777" w:rsidR="00136D11" w:rsidRPr="00136D11" w:rsidRDefault="00FF6257" w:rsidP="00136D11">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3F00ED33" w14:textId="3D8A54E9" w:rsidR="00E66558" w:rsidRPr="00A866CF" w:rsidRDefault="00FF6257" w:rsidP="00136D11">
            <w:pPr>
              <w:numPr>
                <w:ilvl w:val="0"/>
                <w:numId w:val="15"/>
              </w:numPr>
              <w:suppressAutoHyphens w:val="0"/>
              <w:autoSpaceDN/>
              <w:contextualSpacing/>
              <w:rPr>
                <w:rFonts w:cs="Arial"/>
                <w:iCs/>
                <w:color w:val="auto"/>
                <w:lang w:val="en-US"/>
              </w:rPr>
            </w:pPr>
            <w:r w:rsidRPr="00136D11">
              <w:rPr>
                <w:rFonts w:cs="Arial"/>
                <w:color w:val="auto"/>
              </w:rPr>
              <w:t>adopt a whole school approach in which all staff take responsibility for disadvantaged pupils’ outcomes and raise expectations of what they can achieve</w:t>
            </w:r>
          </w:p>
          <w:p w14:paraId="7EE83CCB" w14:textId="77777777" w:rsidR="00A866CF" w:rsidRPr="00A866CF" w:rsidRDefault="00A866CF" w:rsidP="00A866CF">
            <w:pPr>
              <w:suppressAutoHyphens w:val="0"/>
              <w:autoSpaceDN/>
              <w:contextualSpacing/>
              <w:rPr>
                <w:rFonts w:cs="Arial"/>
                <w:iCs/>
                <w:color w:val="auto"/>
                <w:lang w:val="en-US"/>
              </w:rPr>
            </w:pPr>
          </w:p>
          <w:p w14:paraId="2A7D54E9" w14:textId="0BC44717" w:rsidR="00A866CF" w:rsidRPr="00136D11" w:rsidRDefault="00A866CF" w:rsidP="00A866CF">
            <w:pPr>
              <w:suppressAutoHyphens w:val="0"/>
              <w:autoSpaceDN/>
              <w:contextualSpacing/>
              <w:rPr>
                <w:rFonts w:cs="Arial"/>
                <w:iCs/>
                <w:color w:val="auto"/>
                <w:lang w:val="en-US"/>
              </w:rPr>
            </w:pPr>
            <w:r>
              <w:t>The attached Pupil Premium Strategy Statement includes the details of how we are trying to improve outcomes for PP pupils. The statement also reviews expenditure and the impact of this for 2021-22</w:t>
            </w:r>
          </w:p>
        </w:tc>
      </w:tr>
    </w:tbl>
    <w:p w14:paraId="28E34F5D" w14:textId="7ECF130B" w:rsidR="00136D11" w:rsidRDefault="00136D11">
      <w:pPr>
        <w:pStyle w:val="Heading2"/>
        <w:spacing w:before="600"/>
      </w:pPr>
    </w:p>
    <w:p w14:paraId="691A89C0" w14:textId="3A237539" w:rsidR="00136D11" w:rsidRDefault="00136D11" w:rsidP="00136D11"/>
    <w:p w14:paraId="7D54E9D0" w14:textId="77777777" w:rsidR="00136D11" w:rsidRPr="00136D11" w:rsidRDefault="00136D11" w:rsidP="00136D11"/>
    <w:p w14:paraId="2A7D54EB" w14:textId="51BFB25F"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8915A69" w:rsidR="00E66558" w:rsidRPr="0025057D" w:rsidRDefault="00E0452F">
            <w:pPr>
              <w:pStyle w:val="TableRowCentered"/>
              <w:jc w:val="left"/>
              <w:rPr>
                <w:sz w:val="22"/>
                <w:szCs w:val="22"/>
              </w:rPr>
            </w:pPr>
            <w:r w:rsidRPr="0025057D">
              <w:rPr>
                <w:sz w:val="22"/>
                <w:szCs w:val="22"/>
              </w:rPr>
              <w:t>From teachers’ assessments, gaps in learning have been identified across the curriculum (following the pandemic). Fr</w:t>
            </w:r>
            <w:r w:rsidR="00F475A5" w:rsidRPr="0025057D">
              <w:rPr>
                <w:sz w:val="22"/>
                <w:szCs w:val="22"/>
              </w:rPr>
              <w:t>om this, we identify the need for standardised assessments across the school</w:t>
            </w:r>
            <w:r w:rsidR="00DC451C">
              <w:rPr>
                <w:sz w:val="22"/>
                <w:szCs w:val="22"/>
              </w:rPr>
              <w:t xml:space="preserve"> to ensure that no gaps are left.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76B1F" w14:textId="7BEB9B8B" w:rsidR="00E66558" w:rsidRDefault="00F475A5">
            <w:pPr>
              <w:pStyle w:val="TableRowCentered"/>
              <w:jc w:val="left"/>
              <w:rPr>
                <w:sz w:val="22"/>
                <w:szCs w:val="22"/>
              </w:rPr>
            </w:pPr>
            <w:r w:rsidRPr="0025057D">
              <w:rPr>
                <w:sz w:val="22"/>
                <w:szCs w:val="22"/>
              </w:rPr>
              <w:t xml:space="preserve">Attendance and punctuality </w:t>
            </w:r>
            <w:r w:rsidR="00056305">
              <w:rPr>
                <w:sz w:val="22"/>
                <w:szCs w:val="22"/>
              </w:rPr>
              <w:t>can be an issue for some of the PP pupils.</w:t>
            </w:r>
          </w:p>
          <w:p w14:paraId="2A7D54F4" w14:textId="455F769A" w:rsidR="00ED1411" w:rsidRPr="0025057D" w:rsidRDefault="00ED1411">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6DF4601" w:rsidR="00E66558" w:rsidRPr="0025057D" w:rsidRDefault="00F475A5">
            <w:pPr>
              <w:pStyle w:val="TableRowCentered"/>
              <w:jc w:val="left"/>
              <w:rPr>
                <w:sz w:val="22"/>
                <w:szCs w:val="22"/>
              </w:rPr>
            </w:pPr>
            <w:r w:rsidRPr="0025057D">
              <w:rPr>
                <w:sz w:val="22"/>
                <w:szCs w:val="22"/>
              </w:rPr>
              <w:t xml:space="preserve">Social, emotional, mental wellbeing (self-regulation </w:t>
            </w:r>
            <w:r w:rsidR="0025057D" w:rsidRPr="0025057D">
              <w:rPr>
                <w:sz w:val="22"/>
                <w:szCs w:val="22"/>
              </w:rPr>
              <w:t xml:space="preserve">and resilience) </w:t>
            </w:r>
            <w:r w:rsidRPr="0025057D">
              <w:rPr>
                <w:sz w:val="22"/>
                <w:szCs w:val="22"/>
              </w:rPr>
              <w:t xml:space="preserve">and readiness to learn on </w:t>
            </w:r>
            <w:r w:rsidR="0025057D" w:rsidRPr="0025057D">
              <w:rPr>
                <w:sz w:val="22"/>
                <w:szCs w:val="22"/>
              </w:rPr>
              <w:t>arrival at school. Discussions with staff, parents and children all inform this decision.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17A9BC0" w:rsidR="00E66558" w:rsidRDefault="00E07419" w:rsidP="00E07419">
            <w:pPr>
              <w:pStyle w:val="TableRowCentered"/>
              <w:ind w:left="0"/>
              <w:jc w:val="left"/>
              <w:rPr>
                <w:iCs/>
                <w:sz w:val="22"/>
              </w:rPr>
            </w:pPr>
            <w:r>
              <w:rPr>
                <w:iCs/>
                <w:sz w:val="22"/>
              </w:rPr>
              <w:t xml:space="preserve">Access to the whole curriculum can be hindered for disadvantaged pupils as a result </w:t>
            </w:r>
            <w:proofErr w:type="gramStart"/>
            <w:r>
              <w:rPr>
                <w:iCs/>
                <w:sz w:val="22"/>
              </w:rPr>
              <w:t>of  their</w:t>
            </w:r>
            <w:proofErr w:type="gramEnd"/>
            <w:r>
              <w:rPr>
                <w:iCs/>
                <w:sz w:val="22"/>
              </w:rPr>
              <w:t xml:space="preserve"> lack of phonics knowledge.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6E7C474" w:rsidR="00E66558" w:rsidRPr="00DC451C" w:rsidRDefault="00DC451C" w:rsidP="00DC451C">
            <w:pPr>
              <w:spacing w:after="0" w:line="240" w:lineRule="auto"/>
              <w:rPr>
                <w:color w:val="auto"/>
                <w:sz w:val="20"/>
                <w:szCs w:val="20"/>
              </w:rPr>
            </w:pPr>
            <w:r w:rsidRPr="00DC451C">
              <w:rPr>
                <w:color w:val="auto"/>
                <w:sz w:val="22"/>
                <w:szCs w:val="22"/>
              </w:rPr>
              <w:t>T</w:t>
            </w:r>
            <w:r>
              <w:rPr>
                <w:color w:val="auto"/>
                <w:sz w:val="22"/>
                <w:szCs w:val="22"/>
              </w:rPr>
              <w:t>he</w:t>
            </w:r>
            <w:r w:rsidRPr="00DC451C">
              <w:rPr>
                <w:color w:val="auto"/>
                <w:sz w:val="22"/>
                <w:szCs w:val="22"/>
              </w:rPr>
              <w:t xml:space="preserve"> defin</w:t>
            </w:r>
            <w:r>
              <w:rPr>
                <w:color w:val="auto"/>
                <w:sz w:val="22"/>
                <w:szCs w:val="22"/>
              </w:rPr>
              <w:t xml:space="preserve">ition </w:t>
            </w:r>
            <w:r w:rsidRPr="00DC451C">
              <w:rPr>
                <w:color w:val="auto"/>
                <w:sz w:val="22"/>
                <w:szCs w:val="22"/>
              </w:rPr>
              <w:t xml:space="preserve">and awareness of </w:t>
            </w:r>
            <w:r>
              <w:rPr>
                <w:color w:val="auto"/>
                <w:sz w:val="22"/>
                <w:szCs w:val="22"/>
              </w:rPr>
              <w:t xml:space="preserve">the </w:t>
            </w:r>
            <w:r w:rsidRPr="00DC451C">
              <w:rPr>
                <w:color w:val="auto"/>
                <w:sz w:val="22"/>
                <w:szCs w:val="22"/>
              </w:rPr>
              <w:t>cultural capital and its benefit</w:t>
            </w:r>
            <w:r>
              <w:rPr>
                <w:color w:val="auto"/>
                <w:sz w:val="22"/>
                <w:szCs w:val="22"/>
              </w:rPr>
              <w:t>s</w:t>
            </w:r>
            <w:r w:rsidRPr="00DC451C">
              <w:rPr>
                <w:color w:val="auto"/>
                <w:sz w:val="22"/>
                <w:szCs w:val="22"/>
              </w:rPr>
              <w:t xml:space="preserve"> to increase the life chances of all pupils</w:t>
            </w:r>
            <w:r>
              <w:rPr>
                <w:color w:val="auto"/>
                <w:sz w:val="22"/>
                <w:szCs w:val="22"/>
              </w:rPr>
              <w:t xml:space="preserve"> is an area highlighted in the School Development Plan. This is particularly relevant for our most disadvantaged children. </w:t>
            </w:r>
          </w:p>
        </w:tc>
      </w:tr>
      <w:tr w:rsidR="0025057D" w14:paraId="0FF075E6"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28493" w14:textId="16E7BF71" w:rsidR="0025057D" w:rsidRDefault="0025057D">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C6EF" w14:textId="062E4D51" w:rsidR="00271837" w:rsidRDefault="00121A5E" w:rsidP="00121A5E">
            <w:pPr>
              <w:pStyle w:val="TableRowCentered"/>
              <w:ind w:left="0"/>
              <w:jc w:val="left"/>
              <w:rPr>
                <w:iCs/>
                <w:sz w:val="22"/>
              </w:rPr>
            </w:pPr>
            <w:r>
              <w:rPr>
                <w:iCs/>
                <w:sz w:val="22"/>
              </w:rPr>
              <w:t xml:space="preserve">The gap between pp children and their peers in reading, writing and maths, although beginning to be diminished, needs to continue to be closed. </w:t>
            </w:r>
          </w:p>
        </w:tc>
      </w:tr>
    </w:tbl>
    <w:p w14:paraId="2A7D54FF" w14:textId="34EBB078" w:rsidR="00E66558" w:rsidRDefault="009D71E8">
      <w:pPr>
        <w:pStyle w:val="Heading2"/>
        <w:spacing w:before="600"/>
      </w:pPr>
      <w:r>
        <w:t xml:space="preserve">Intended outcomes </w:t>
      </w:r>
    </w:p>
    <w:p w14:paraId="2A7D5500" w14:textId="46E606AA"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2F40B6"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F40B6"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6991DEF9" w:rsidR="00E66558" w:rsidRPr="004D650D" w:rsidRDefault="00B16CE5" w:rsidP="00456D97">
            <w:pPr>
              <w:pStyle w:val="TableRow"/>
              <w:spacing w:line="276" w:lineRule="auto"/>
              <w:ind w:left="0"/>
              <w:rPr>
                <w:sz w:val="22"/>
                <w:szCs w:val="22"/>
              </w:rPr>
            </w:pPr>
            <w:r>
              <w:rPr>
                <w:sz w:val="22"/>
                <w:szCs w:val="22"/>
              </w:rPr>
              <w:t>Gaps are identified and pupils achieve expected or better in their assessments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6E859CD" w:rsidR="00900724" w:rsidRPr="00B90B7B" w:rsidRDefault="00B16CE5" w:rsidP="00456D97">
            <w:pPr>
              <w:pStyle w:val="TableRowCentered"/>
              <w:spacing w:line="276" w:lineRule="auto"/>
              <w:ind w:left="0"/>
              <w:jc w:val="left"/>
              <w:rPr>
                <w:color w:val="auto"/>
                <w:sz w:val="22"/>
                <w:szCs w:val="22"/>
              </w:rPr>
            </w:pPr>
            <w:r w:rsidRPr="00B90B7B">
              <w:rPr>
                <w:rFonts w:cs="Arial"/>
                <w:color w:val="auto"/>
                <w:sz w:val="22"/>
                <w:szCs w:val="18"/>
              </w:rPr>
              <w:t>Pupils achieve expected, or better, outcome relative to their starting points, evidenced by data in July 2023</w:t>
            </w:r>
          </w:p>
        </w:tc>
      </w:tr>
      <w:tr w:rsidR="002F40B6"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322DEDE" w:rsidR="00E66558" w:rsidRPr="00F06FAB" w:rsidRDefault="00F06FAB" w:rsidP="00456D97">
            <w:pPr>
              <w:pStyle w:val="TableRow"/>
              <w:spacing w:line="276" w:lineRule="auto"/>
              <w:ind w:left="0"/>
              <w:rPr>
                <w:sz w:val="22"/>
                <w:szCs w:val="22"/>
              </w:rPr>
            </w:pPr>
            <w:r w:rsidRPr="00F06FAB">
              <w:rPr>
                <w:sz w:val="22"/>
                <w:szCs w:val="22"/>
              </w:rPr>
              <w:t>To achieve and sustain improved attendance and punctuality for our disadvantaged pupils to bring them in-line with our non-disadvantaged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3D4DAF4" w:rsidR="00F06FAB" w:rsidRPr="00F06FAB" w:rsidRDefault="00E40345" w:rsidP="00456D97">
            <w:pPr>
              <w:pStyle w:val="TableRowCentered"/>
              <w:spacing w:line="276" w:lineRule="auto"/>
              <w:ind w:left="0"/>
              <w:jc w:val="left"/>
              <w:rPr>
                <w:sz w:val="22"/>
                <w:szCs w:val="22"/>
              </w:rPr>
            </w:pPr>
            <w:r>
              <w:rPr>
                <w:sz w:val="22"/>
                <w:szCs w:val="22"/>
              </w:rPr>
              <w:t>Improve attendance of disadvantaged pupils to 95%</w:t>
            </w:r>
          </w:p>
        </w:tc>
      </w:tr>
      <w:tr w:rsidR="002F40B6"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AC8C33E" w:rsidR="00E66558" w:rsidRPr="00F06FAB" w:rsidRDefault="00F06FAB" w:rsidP="00456D97">
            <w:pPr>
              <w:spacing w:line="276" w:lineRule="auto"/>
              <w:rPr>
                <w:sz w:val="22"/>
                <w:szCs w:val="22"/>
              </w:rPr>
            </w:pPr>
            <w:r w:rsidRPr="00F06FAB">
              <w:rPr>
                <w:sz w:val="22"/>
                <w:szCs w:val="22"/>
              </w:rPr>
              <w:t xml:space="preserve">To improve social, </w:t>
            </w:r>
            <w:proofErr w:type="gramStart"/>
            <w:r w:rsidRPr="00F06FAB">
              <w:rPr>
                <w:sz w:val="22"/>
                <w:szCs w:val="22"/>
              </w:rPr>
              <w:t>emotional</w:t>
            </w:r>
            <w:proofErr w:type="gramEnd"/>
            <w:r w:rsidRPr="00F06FAB">
              <w:rPr>
                <w:sz w:val="22"/>
                <w:szCs w:val="22"/>
              </w:rPr>
              <w:t xml:space="preserve"> and mental wellbeing (particularly self-regulation and resilience) and readiness to learn on arrival at school for all pupils,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831E58E" w:rsidR="00F80B4F" w:rsidRPr="00456D97" w:rsidRDefault="001A6224" w:rsidP="00456D97">
            <w:pPr>
              <w:suppressAutoHyphens w:val="0"/>
              <w:autoSpaceDN/>
              <w:spacing w:after="0" w:line="276" w:lineRule="auto"/>
              <w:rPr>
                <w:color w:val="auto"/>
                <w:sz w:val="22"/>
                <w:szCs w:val="22"/>
              </w:rPr>
            </w:pPr>
            <w:r>
              <w:rPr>
                <w:color w:val="auto"/>
                <w:sz w:val="22"/>
                <w:szCs w:val="22"/>
              </w:rPr>
              <w:t>There are fewer incidents of inappropriate behaviours as evidenced on CPOMS</w:t>
            </w:r>
          </w:p>
        </w:tc>
      </w:tr>
      <w:tr w:rsidR="002F40B6"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9C759C6" w:rsidR="00900724" w:rsidRPr="00900724" w:rsidRDefault="00900724" w:rsidP="00456D97">
            <w:pPr>
              <w:pStyle w:val="TableRow"/>
              <w:spacing w:line="276" w:lineRule="auto"/>
              <w:ind w:left="0"/>
              <w:rPr>
                <w:sz w:val="22"/>
                <w:szCs w:val="22"/>
              </w:rPr>
            </w:pPr>
            <w:r>
              <w:rPr>
                <w:sz w:val="22"/>
                <w:szCs w:val="22"/>
              </w:rPr>
              <w:t>To i</w:t>
            </w:r>
            <w:r w:rsidRPr="00900724">
              <w:rPr>
                <w:sz w:val="22"/>
                <w:szCs w:val="22"/>
              </w:rPr>
              <w:t>mprove</w:t>
            </w:r>
            <w:r>
              <w:rPr>
                <w:sz w:val="22"/>
                <w:szCs w:val="22"/>
              </w:rPr>
              <w:t xml:space="preserve"> phonics awareness and therefore</w:t>
            </w:r>
            <w:r w:rsidR="00456D97">
              <w:rPr>
                <w:sz w:val="22"/>
                <w:szCs w:val="22"/>
              </w:rPr>
              <w:t xml:space="preserve"> increase</w:t>
            </w:r>
            <w:r w:rsidRPr="00900724">
              <w:rPr>
                <w:sz w:val="22"/>
                <w:szCs w:val="22"/>
              </w:rPr>
              <w:t xml:space="preserve"> reading attainment for disadvantaged pupils by the end of </w:t>
            </w:r>
            <w:r>
              <w:rPr>
                <w:sz w:val="22"/>
                <w:szCs w:val="22"/>
              </w:rPr>
              <w:t>the academic year</w:t>
            </w:r>
            <w:r w:rsidR="00456D97">
              <w:rPr>
                <w:sz w:val="22"/>
                <w:szCs w:val="22"/>
              </w:rPr>
              <w:t xml:space="preserve"> (and at the end of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3B8E83D" w:rsidR="00900724" w:rsidRDefault="005F385D" w:rsidP="00456D97">
            <w:pPr>
              <w:pStyle w:val="TableRowCentered"/>
              <w:spacing w:line="276" w:lineRule="auto"/>
              <w:ind w:left="0"/>
              <w:jc w:val="left"/>
              <w:rPr>
                <w:sz w:val="22"/>
                <w:szCs w:val="22"/>
              </w:rPr>
            </w:pPr>
            <w:r>
              <w:rPr>
                <w:sz w:val="22"/>
                <w:szCs w:val="22"/>
              </w:rPr>
              <w:t>Pupils make accelerated progress and achieve expected in reading, evidenced by data July 2023</w:t>
            </w:r>
          </w:p>
        </w:tc>
      </w:tr>
      <w:tr w:rsidR="002F40B6" w14:paraId="6B135A4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9A30" w14:textId="77777777" w:rsidR="00456D97" w:rsidRPr="00456D97" w:rsidRDefault="00456D97" w:rsidP="00DB449E">
            <w:pPr>
              <w:spacing w:after="0" w:line="276" w:lineRule="auto"/>
              <w:rPr>
                <w:color w:val="auto"/>
                <w:sz w:val="20"/>
                <w:szCs w:val="20"/>
              </w:rPr>
            </w:pPr>
            <w:r w:rsidRPr="00456D97">
              <w:rPr>
                <w:color w:val="auto"/>
                <w:sz w:val="22"/>
                <w:szCs w:val="22"/>
              </w:rPr>
              <w:lastRenderedPageBreak/>
              <w:t>To clearly define and increase awareness of cultural capital and its benefit to increase the life chances of all pupils.</w:t>
            </w:r>
          </w:p>
          <w:p w14:paraId="62A1ED7B" w14:textId="77777777" w:rsidR="00900724" w:rsidRDefault="00900724" w:rsidP="00900724">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066C4" w14:textId="43E1C6CA" w:rsidR="00456D97" w:rsidRPr="00F42998" w:rsidRDefault="00F42998" w:rsidP="00456D97">
            <w:pPr>
              <w:pStyle w:val="TableRowCentered"/>
              <w:spacing w:line="276" w:lineRule="auto"/>
              <w:ind w:left="0"/>
              <w:jc w:val="left"/>
              <w:rPr>
                <w:color w:val="auto"/>
                <w:sz w:val="22"/>
                <w:szCs w:val="22"/>
              </w:rPr>
            </w:pPr>
            <w:r w:rsidRPr="00F42998">
              <w:rPr>
                <w:color w:val="auto"/>
                <w:sz w:val="22"/>
                <w:szCs w:val="22"/>
              </w:rPr>
              <w:t>All opportunities are inclusive and include all pupils. All disadvantaged pupils have experienced the same opportunities. Pupil voice and registers of activities evidence this.</w:t>
            </w:r>
          </w:p>
        </w:tc>
      </w:tr>
      <w:tr w:rsidR="002F40B6" w14:paraId="6CD049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E9ACC" w14:textId="3CD2A40F" w:rsidR="00900724" w:rsidRPr="00121A5E" w:rsidRDefault="00B90B7B" w:rsidP="00900724">
            <w:r>
              <w:rPr>
                <w:iCs/>
                <w:sz w:val="22"/>
              </w:rPr>
              <w:t>Diminish</w:t>
            </w:r>
            <w:r w:rsidR="00456D97">
              <w:rPr>
                <w:iCs/>
                <w:sz w:val="22"/>
              </w:rPr>
              <w:t xml:space="preserve"> the gap between pp children and their peers in reading, writing and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55B66" w14:textId="3D0D0E48" w:rsidR="005B3812" w:rsidRDefault="00B90B7B" w:rsidP="00456D97">
            <w:pPr>
              <w:pStyle w:val="TableRowCentered"/>
              <w:spacing w:line="276" w:lineRule="auto"/>
              <w:ind w:left="0"/>
              <w:jc w:val="left"/>
              <w:rPr>
                <w:sz w:val="22"/>
                <w:szCs w:val="22"/>
              </w:rPr>
            </w:pPr>
            <w:r>
              <w:rPr>
                <w:sz w:val="22"/>
                <w:szCs w:val="22"/>
              </w:rPr>
              <w:t xml:space="preserve">Pupils </w:t>
            </w:r>
            <w:r w:rsidR="00785F14">
              <w:rPr>
                <w:sz w:val="22"/>
                <w:szCs w:val="22"/>
              </w:rPr>
              <w:t>improve their phonic knowledge</w:t>
            </w:r>
            <w:r w:rsidR="0041006A">
              <w:rPr>
                <w:sz w:val="22"/>
                <w:szCs w:val="22"/>
              </w:rPr>
              <w:t xml:space="preserve"> and </w:t>
            </w:r>
            <w:r>
              <w:rPr>
                <w:sz w:val="22"/>
                <w:szCs w:val="22"/>
              </w:rPr>
              <w:t>achieve expected outcomes or better as evidenced in July 2023 data</w:t>
            </w:r>
          </w:p>
        </w:tc>
      </w:tr>
    </w:tbl>
    <w:p w14:paraId="08E02B7D" w14:textId="77777777" w:rsidR="001A7A7F" w:rsidRDefault="001A7A7F" w:rsidP="00676B24">
      <w:pPr>
        <w:suppressAutoHyphens w:val="0"/>
        <w:spacing w:after="0" w:line="240" w:lineRule="auto"/>
      </w:pPr>
    </w:p>
    <w:p w14:paraId="2A7D5512" w14:textId="2DB80D3A" w:rsidR="00E66558" w:rsidRPr="00676B24" w:rsidRDefault="009D71E8" w:rsidP="00676B24">
      <w:pPr>
        <w:suppressAutoHyphens w:val="0"/>
        <w:spacing w:after="0" w:line="240" w:lineRule="auto"/>
        <w:rPr>
          <w:b/>
          <w:color w:val="104F75"/>
          <w:sz w:val="32"/>
          <w:szCs w:val="32"/>
        </w:rPr>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B4C5EF2" w:rsidR="00E66558" w:rsidRDefault="009D71E8">
      <w:r w:rsidRPr="00231AD5">
        <w:t>Budgeted cost:</w:t>
      </w:r>
      <w:r w:rsidR="008454D5" w:rsidRPr="00231AD5">
        <w:t xml:space="preserve"> £</w:t>
      </w:r>
      <w:r w:rsidR="00B04C77" w:rsidRPr="00231AD5">
        <w:t>31,</w:t>
      </w:r>
      <w:r w:rsidR="00C76266" w:rsidRPr="00231AD5">
        <w:t>000</w:t>
      </w:r>
    </w:p>
    <w:tbl>
      <w:tblPr>
        <w:tblW w:w="5000" w:type="pct"/>
        <w:tblLayout w:type="fixed"/>
        <w:tblCellMar>
          <w:left w:w="10" w:type="dxa"/>
          <w:right w:w="10" w:type="dxa"/>
        </w:tblCellMar>
        <w:tblLook w:val="04A0" w:firstRow="1" w:lastRow="0" w:firstColumn="1" w:lastColumn="0" w:noHBand="0" w:noVBand="1"/>
      </w:tblPr>
      <w:tblGrid>
        <w:gridCol w:w="2405"/>
        <w:gridCol w:w="5981"/>
        <w:gridCol w:w="1100"/>
      </w:tblGrid>
      <w:tr w:rsidR="00E66558" w14:paraId="2A7D5519" w14:textId="77777777" w:rsidTr="00FF6257">
        <w:tc>
          <w:tcPr>
            <w:tcW w:w="24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9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1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F625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738A2" w14:textId="77777777" w:rsidR="00FF6257" w:rsidRPr="00FF6257" w:rsidRDefault="00FF6257" w:rsidP="00FF6257">
            <w:pPr>
              <w:rPr>
                <w:sz w:val="22"/>
                <w:szCs w:val="22"/>
              </w:rPr>
            </w:pPr>
            <w:r w:rsidRPr="00FF6257">
              <w:rPr>
                <w:sz w:val="22"/>
                <w:szCs w:val="22"/>
              </w:rPr>
              <w:t>Purchase of standardised diagnostic assessments.</w:t>
            </w:r>
          </w:p>
          <w:p w14:paraId="75FAE9B5" w14:textId="77777777" w:rsidR="00FF6257" w:rsidRPr="00FF6257" w:rsidRDefault="00FF6257" w:rsidP="00FF6257">
            <w:pPr>
              <w:rPr>
                <w:sz w:val="22"/>
                <w:szCs w:val="22"/>
              </w:rPr>
            </w:pPr>
            <w:r w:rsidRPr="00FF6257">
              <w:rPr>
                <w:sz w:val="22"/>
                <w:szCs w:val="22"/>
              </w:rPr>
              <w:t>Training for staff to ensure assessments are interpreted and administered correctly.</w:t>
            </w:r>
          </w:p>
          <w:p w14:paraId="2A7D551A" w14:textId="3C9296D4" w:rsidR="00E66558" w:rsidRPr="00FF6257" w:rsidRDefault="00E66558" w:rsidP="00FF6257">
            <w:pPr>
              <w:pStyle w:val="TableRow"/>
              <w:ind w:left="0"/>
              <w:rPr>
                <w:sz w:val="22"/>
                <w:szCs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85DE" w14:textId="3B996CE6" w:rsidR="00FF6257" w:rsidRDefault="00FF6257" w:rsidP="00FF6257">
            <w:pPr>
              <w:rPr>
                <w:sz w:val="22"/>
                <w:szCs w:val="22"/>
              </w:rPr>
            </w:pPr>
            <w:r w:rsidRPr="00FF6257">
              <w:rPr>
                <w:sz w:val="22"/>
                <w:szCs w:val="22"/>
              </w:rPr>
              <w:t xml:space="preserve">EEF: Diagnostic assessments provide opportunities to reflect on pupils’ thinking, </w:t>
            </w:r>
            <w:proofErr w:type="gramStart"/>
            <w:r w:rsidRPr="00FF6257">
              <w:rPr>
                <w:sz w:val="22"/>
                <w:szCs w:val="22"/>
              </w:rPr>
              <w:t>strengths</w:t>
            </w:r>
            <w:proofErr w:type="gramEnd"/>
            <w:r w:rsidRPr="00FF6257">
              <w:rPr>
                <w:sz w:val="22"/>
                <w:szCs w:val="22"/>
              </w:rPr>
              <w:t xml:space="preserve"> and weaknesses. When used effectively, diagnostic assessments can indicate areas for development with individual pupils or classes. Diagnostic assessment is crucial for understanding the specific elements of education that pupils are finding challenging, rather than performance in whole subjects. Gaining a thorough knowledge of </w:t>
            </w:r>
            <w:r>
              <w:rPr>
                <w:sz w:val="22"/>
                <w:szCs w:val="22"/>
              </w:rPr>
              <w:t xml:space="preserve">our </w:t>
            </w:r>
            <w:r w:rsidRPr="00FF6257">
              <w:rPr>
                <w:sz w:val="22"/>
                <w:szCs w:val="22"/>
              </w:rPr>
              <w:t xml:space="preserve">disadvantaged pupils’ levels of attainment is the first step. </w:t>
            </w:r>
          </w:p>
          <w:p w14:paraId="2478D964" w14:textId="77777777" w:rsidR="00FF6257" w:rsidRPr="00FF6257" w:rsidRDefault="00021659" w:rsidP="00FF6257">
            <w:pPr>
              <w:rPr>
                <w:sz w:val="14"/>
                <w:szCs w:val="14"/>
              </w:rPr>
            </w:pPr>
            <w:hyperlink r:id="rId7" w:history="1">
              <w:r w:rsidR="00FF6257" w:rsidRPr="00FF6257">
                <w:rPr>
                  <w:rStyle w:val="Hyperlink"/>
                  <w:sz w:val="14"/>
                  <w:szCs w:val="14"/>
                </w:rPr>
                <w:t>https://educationendowmentfoundation.org.uk/public/files/Diagnostic_Assessment_Tool.pdf</w:t>
              </w:r>
            </w:hyperlink>
          </w:p>
          <w:p w14:paraId="07F3866E" w14:textId="77777777" w:rsidR="00FF6257" w:rsidRPr="00FF6257" w:rsidRDefault="00FF6257" w:rsidP="00FF6257">
            <w:pPr>
              <w:rPr>
                <w:sz w:val="22"/>
                <w:szCs w:val="22"/>
              </w:rPr>
            </w:pPr>
          </w:p>
          <w:p w14:paraId="2A7D551B" w14:textId="77777777" w:rsidR="00E66558" w:rsidRPr="00FF6257" w:rsidRDefault="00E66558">
            <w:pPr>
              <w:pStyle w:val="TableRowCentered"/>
              <w:jc w:val="left"/>
              <w:rPr>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1A2E88D" w:rsidR="00E66558" w:rsidRDefault="00FF6257">
            <w:pPr>
              <w:pStyle w:val="TableRowCentered"/>
              <w:jc w:val="left"/>
              <w:rPr>
                <w:sz w:val="22"/>
              </w:rPr>
            </w:pPr>
            <w:r>
              <w:rPr>
                <w:sz w:val="22"/>
              </w:rPr>
              <w:t>1, 4, 6</w:t>
            </w:r>
          </w:p>
        </w:tc>
      </w:tr>
      <w:tr w:rsidR="00E66558" w14:paraId="2A7D5521" w14:textId="77777777" w:rsidTr="00FF625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BD0F5" w14:textId="5B323AF7" w:rsidR="00FF6257" w:rsidRDefault="00FF6257" w:rsidP="00FF6257">
            <w:pPr>
              <w:rPr>
                <w:sz w:val="22"/>
                <w:szCs w:val="22"/>
              </w:rPr>
            </w:pPr>
            <w:r>
              <w:rPr>
                <w:sz w:val="22"/>
                <w:szCs w:val="22"/>
              </w:rPr>
              <w:t>Train staff in RWI</w:t>
            </w:r>
            <w:r w:rsidRPr="00FF6257">
              <w:rPr>
                <w:sz w:val="22"/>
                <w:szCs w:val="22"/>
              </w:rPr>
              <w:t xml:space="preserve"> programme to secure stronger teaching in phonics for all pupils.</w:t>
            </w:r>
          </w:p>
          <w:p w14:paraId="310CEF45" w14:textId="5D9914DF" w:rsidR="00D251F1" w:rsidRPr="00FF6257" w:rsidRDefault="00D251F1" w:rsidP="00FF6257">
            <w:pPr>
              <w:rPr>
                <w:sz w:val="22"/>
                <w:szCs w:val="22"/>
              </w:rPr>
            </w:pPr>
            <w:r>
              <w:rPr>
                <w:sz w:val="22"/>
                <w:szCs w:val="22"/>
              </w:rPr>
              <w:t xml:space="preserve">Invest in ‘Beat Dyslexia’ and more </w:t>
            </w:r>
            <w:r w:rsidR="003E04DC">
              <w:rPr>
                <w:sz w:val="22"/>
                <w:szCs w:val="22"/>
              </w:rPr>
              <w:t xml:space="preserve">books associated with </w:t>
            </w:r>
            <w:proofErr w:type="spellStart"/>
            <w:r w:rsidR="003E04DC">
              <w:rPr>
                <w:sz w:val="22"/>
                <w:szCs w:val="22"/>
              </w:rPr>
              <w:t>RWInc</w:t>
            </w:r>
            <w:proofErr w:type="spellEnd"/>
            <w:r w:rsidR="003E04DC">
              <w:rPr>
                <w:sz w:val="22"/>
                <w:szCs w:val="22"/>
              </w:rPr>
              <w:t xml:space="preserve"> scheme</w:t>
            </w:r>
          </w:p>
          <w:p w14:paraId="2A7D551E" w14:textId="77777777" w:rsidR="00E66558" w:rsidRDefault="00E66558">
            <w:pPr>
              <w:pStyle w:val="TableRow"/>
              <w:rPr>
                <w:i/>
                <w:sz w:val="22"/>
              </w:rPr>
            </w:pP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026E0" w14:textId="6AB7A3B5" w:rsidR="00FF6257" w:rsidRDefault="00FF6257" w:rsidP="00FF6257">
            <w:pPr>
              <w:rPr>
                <w:sz w:val="22"/>
                <w:szCs w:val="22"/>
              </w:rPr>
            </w:pPr>
            <w:r w:rsidRPr="00FF6257">
              <w:rPr>
                <w:sz w:val="22"/>
                <w:szCs w:val="22"/>
              </w:rPr>
              <w:lastRenderedPageBreak/>
              <w:t xml:space="preserve">Evidence shows that teaching phonics is the best way to teach children to read. The EEF considers phonics to be one of the most secure and best-evidenced areas of pedagogy, recommending all schools use a systematic approach to teaching it. </w:t>
            </w:r>
          </w:p>
          <w:p w14:paraId="4EDD21D6" w14:textId="77777777" w:rsidR="00FF6257" w:rsidRDefault="00021659" w:rsidP="00FF6257">
            <w:pPr>
              <w:rPr>
                <w:rStyle w:val="Hyperlink"/>
                <w:color w:val="0D0D0D"/>
                <w:sz w:val="14"/>
                <w:szCs w:val="14"/>
              </w:rPr>
            </w:pPr>
            <w:hyperlink r:id="rId8" w:history="1">
              <w:r w:rsidR="00FF6257" w:rsidRPr="00084C05">
                <w:rPr>
                  <w:rStyle w:val="Hyperlink"/>
                  <w:sz w:val="14"/>
                  <w:szCs w:val="14"/>
                </w:rPr>
                <w:t>https://assets.publishing.service.gov.uk/government/uploads/system/uploads/attachment_data/file/1000986/Reading_framework_Teaching_the_foundations_of_literacy_-_July-2021.pdf</w:t>
              </w:r>
            </w:hyperlink>
          </w:p>
          <w:p w14:paraId="7EF8E037" w14:textId="23699060" w:rsidR="00FF6257" w:rsidRPr="00084C05" w:rsidRDefault="00021659" w:rsidP="00FF6257">
            <w:pPr>
              <w:rPr>
                <w:sz w:val="14"/>
                <w:szCs w:val="14"/>
              </w:rPr>
            </w:pPr>
            <w:hyperlink r:id="rId9" w:history="1">
              <w:r w:rsidR="00FF6257" w:rsidRPr="00D66F67">
                <w:rPr>
                  <w:rStyle w:val="Hyperlink"/>
                  <w:sz w:val="14"/>
                  <w:szCs w:val="14"/>
                </w:rPr>
                <w:t>https://educationendowmentfoundation.org.uk/education-evidence/teaching-learning-toolkit/phonics</w:t>
              </w:r>
            </w:hyperlink>
          </w:p>
          <w:p w14:paraId="2A7D551F" w14:textId="5E85C863" w:rsidR="00E66558" w:rsidRPr="00FF6257" w:rsidRDefault="00021659" w:rsidP="00FF6257">
            <w:pPr>
              <w:rPr>
                <w:sz w:val="14"/>
                <w:szCs w:val="14"/>
              </w:rPr>
            </w:pPr>
            <w:hyperlink r:id="rId10" w:history="1">
              <w:r w:rsidR="00FF6257" w:rsidRPr="00D66F67">
                <w:rPr>
                  <w:rStyle w:val="Hyperlink"/>
                  <w:sz w:val="14"/>
                  <w:szCs w:val="14"/>
                </w:rPr>
                <w:t>https://educationendowmentfoundation.org.uk/education-evidence/guidance-reports/literacy-ks-1</w:t>
              </w:r>
            </w:hyperlink>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16AF38A" w:rsidR="00E66558" w:rsidRDefault="00DA6D53">
            <w:pPr>
              <w:pStyle w:val="TableRowCentered"/>
              <w:jc w:val="left"/>
              <w:rPr>
                <w:sz w:val="22"/>
              </w:rPr>
            </w:pPr>
            <w:r>
              <w:rPr>
                <w:sz w:val="22"/>
              </w:rPr>
              <w:lastRenderedPageBreak/>
              <w:t>1, 4, 6</w:t>
            </w:r>
          </w:p>
        </w:tc>
      </w:tr>
      <w:tr w:rsidR="00DB449E" w14:paraId="663F04D1" w14:textId="77777777" w:rsidTr="00FF625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78A2" w14:textId="77777777" w:rsidR="00DD079D" w:rsidRPr="00DD079D" w:rsidRDefault="00DD079D" w:rsidP="00DD079D">
            <w:pPr>
              <w:suppressAutoHyphens w:val="0"/>
              <w:spacing w:before="60" w:after="0" w:line="276" w:lineRule="auto"/>
              <w:ind w:left="29"/>
              <w:rPr>
                <w:rFonts w:cs="Arial"/>
                <w:iCs/>
                <w:color w:val="auto"/>
                <w:sz w:val="22"/>
                <w:szCs w:val="22"/>
                <w:lang w:val="en-US" w:eastAsia="en-US"/>
              </w:rPr>
            </w:pPr>
            <w:r w:rsidRPr="00DD079D">
              <w:rPr>
                <w:rFonts w:cs="Arial"/>
                <w:iCs/>
                <w:color w:val="auto"/>
                <w:sz w:val="22"/>
                <w:szCs w:val="22"/>
                <w:lang w:val="en-US" w:eastAsia="en-US"/>
              </w:rPr>
              <w:t>Improve the quality of social and emotional (SEL) learning.</w:t>
            </w:r>
          </w:p>
          <w:p w14:paraId="449EB0E6" w14:textId="77777777" w:rsidR="00DD079D" w:rsidRPr="00DD079D" w:rsidRDefault="00DD079D" w:rsidP="00DD079D">
            <w:pPr>
              <w:suppressAutoHyphens w:val="0"/>
              <w:spacing w:after="0" w:line="276" w:lineRule="auto"/>
              <w:rPr>
                <w:rFonts w:cs="Arial"/>
                <w:iCs/>
                <w:color w:val="auto"/>
                <w:sz w:val="22"/>
                <w:szCs w:val="22"/>
                <w:lang w:val="en-US" w:eastAsia="en-US"/>
              </w:rPr>
            </w:pPr>
          </w:p>
          <w:p w14:paraId="6FDED072" w14:textId="77777777" w:rsidR="00DB449E" w:rsidRDefault="00DD079D" w:rsidP="00DD079D">
            <w:pPr>
              <w:spacing w:line="276" w:lineRule="auto"/>
              <w:rPr>
                <w:sz w:val="22"/>
                <w:szCs w:val="22"/>
              </w:rPr>
            </w:pPr>
            <w:r w:rsidRPr="00DD079D">
              <w:rPr>
                <w:rFonts w:cs="Arial"/>
                <w:iCs/>
                <w:color w:val="auto"/>
                <w:sz w:val="22"/>
                <w:szCs w:val="22"/>
                <w:lang w:val="en-US" w:eastAsia="en-US"/>
              </w:rPr>
              <w:t>SEL approaches will be embedded into routine educational practices and supported by professional development and training for staff.</w:t>
            </w:r>
            <w:r w:rsidR="00DB449E" w:rsidRPr="00DD079D">
              <w:rPr>
                <w:sz w:val="22"/>
                <w:szCs w:val="22"/>
              </w:rPr>
              <w:t xml:space="preserve"> </w:t>
            </w:r>
          </w:p>
          <w:p w14:paraId="6D78A0C5" w14:textId="77777777" w:rsidR="00625921" w:rsidRDefault="00625921" w:rsidP="00DD079D">
            <w:pPr>
              <w:spacing w:line="276" w:lineRule="auto"/>
              <w:rPr>
                <w:sz w:val="22"/>
                <w:szCs w:val="22"/>
              </w:rPr>
            </w:pPr>
          </w:p>
          <w:p w14:paraId="1378DAEC" w14:textId="63C4678F" w:rsidR="00625921" w:rsidRPr="00E96E1F" w:rsidRDefault="00E96E1F" w:rsidP="00DD079D">
            <w:pPr>
              <w:spacing w:line="276" w:lineRule="auto"/>
              <w:rPr>
                <w:rFonts w:cs="Arial"/>
                <w:sz w:val="22"/>
                <w:szCs w:val="22"/>
              </w:rPr>
            </w:pPr>
            <w:proofErr w:type="spellStart"/>
            <w:r w:rsidRPr="00E96E1F">
              <w:rPr>
                <w:rFonts w:cs="Arial"/>
                <w:color w:val="auto"/>
                <w:sz w:val="22"/>
                <w:szCs w:val="22"/>
              </w:rPr>
              <w:t>Desty</w:t>
            </w:r>
            <w:proofErr w:type="spellEnd"/>
            <w:r w:rsidRPr="00E96E1F">
              <w:rPr>
                <w:rFonts w:cs="Arial"/>
                <w:color w:val="auto"/>
                <w:sz w:val="22"/>
                <w:szCs w:val="22"/>
              </w:rPr>
              <w:t xml:space="preserve"> Island (2 TAs trained as </w:t>
            </w:r>
            <w:proofErr w:type="spellStart"/>
            <w:r w:rsidRPr="00E96E1F">
              <w:rPr>
                <w:rFonts w:cs="Arial"/>
                <w:color w:val="auto"/>
                <w:sz w:val="22"/>
                <w:szCs w:val="22"/>
              </w:rPr>
              <w:t>Desty</w:t>
            </w:r>
            <w:proofErr w:type="spellEnd"/>
            <w:r w:rsidRPr="00E96E1F">
              <w:rPr>
                <w:rFonts w:cs="Arial"/>
                <w:color w:val="auto"/>
                <w:sz w:val="22"/>
                <w:szCs w:val="22"/>
              </w:rPr>
              <w:t xml:space="preserve"> mentors) used to develop self-confidence, social </w:t>
            </w:r>
            <w:proofErr w:type="gramStart"/>
            <w:r w:rsidRPr="00E96E1F">
              <w:rPr>
                <w:rFonts w:cs="Arial"/>
                <w:color w:val="auto"/>
                <w:sz w:val="22"/>
                <w:szCs w:val="22"/>
              </w:rPr>
              <w:t>skills</w:t>
            </w:r>
            <w:proofErr w:type="gramEnd"/>
            <w:r w:rsidRPr="00E96E1F">
              <w:rPr>
                <w:rFonts w:cs="Arial"/>
                <w:color w:val="auto"/>
                <w:sz w:val="22"/>
                <w:szCs w:val="22"/>
              </w:rPr>
              <w:t xml:space="preserve"> and emotional resilience.</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97BF" w14:textId="77777777" w:rsidR="00DD079D" w:rsidRPr="00DD079D" w:rsidRDefault="00DD079D" w:rsidP="00DD079D">
            <w:pPr>
              <w:pStyle w:val="TableRowCentered"/>
              <w:spacing w:line="276" w:lineRule="auto"/>
              <w:jc w:val="left"/>
              <w:rPr>
                <w:rFonts w:cs="Arial"/>
                <w:color w:val="auto"/>
                <w:sz w:val="22"/>
                <w:szCs w:val="22"/>
              </w:rPr>
            </w:pPr>
            <w:r w:rsidRPr="00DD079D">
              <w:rPr>
                <w:rFonts w:cs="Arial"/>
                <w:color w:val="auto"/>
                <w:sz w:val="22"/>
                <w:szCs w:val="22"/>
              </w:rPr>
              <w:t xml:space="preserve">There is extensive evidence associating childhood social and emotional skills with improved outcomes at school and in later life (e.g., improved academic performance, attitudes, </w:t>
            </w:r>
            <w:proofErr w:type="gramStart"/>
            <w:r w:rsidRPr="00DD079D">
              <w:rPr>
                <w:rFonts w:cs="Arial"/>
                <w:color w:val="auto"/>
                <w:sz w:val="22"/>
                <w:szCs w:val="22"/>
              </w:rPr>
              <w:t>behaviour</w:t>
            </w:r>
            <w:proofErr w:type="gramEnd"/>
            <w:r w:rsidRPr="00DD079D">
              <w:rPr>
                <w:rFonts w:cs="Arial"/>
                <w:color w:val="auto"/>
                <w:sz w:val="22"/>
                <w:szCs w:val="22"/>
              </w:rPr>
              <w:t xml:space="preserve"> and relationships with peers):</w:t>
            </w:r>
          </w:p>
          <w:p w14:paraId="6957B45C" w14:textId="77777777" w:rsidR="00DB449E" w:rsidRPr="00CF7944" w:rsidRDefault="00021659" w:rsidP="00DD079D">
            <w:pPr>
              <w:spacing w:line="276" w:lineRule="auto"/>
              <w:rPr>
                <w:sz w:val="18"/>
                <w:szCs w:val="18"/>
              </w:rPr>
            </w:pPr>
            <w:hyperlink r:id="rId11" w:history="1">
              <w:r w:rsidR="00DD079D" w:rsidRPr="00CF7944">
                <w:rPr>
                  <w:rStyle w:val="Hyperlink"/>
                  <w:color w:val="0070C0"/>
                  <w:sz w:val="18"/>
                  <w:szCs w:val="18"/>
                </w:rPr>
                <w:t>EEF_Social_and_Emotional_Learning.pdf(educationendowmentfoundation.org.uk)</w:t>
              </w:r>
            </w:hyperlink>
          </w:p>
          <w:p w14:paraId="4A1400E5" w14:textId="77777777" w:rsidR="00CF7944" w:rsidRPr="00CF7944" w:rsidRDefault="00021659" w:rsidP="00DD079D">
            <w:pPr>
              <w:spacing w:line="276" w:lineRule="auto"/>
              <w:rPr>
                <w:sz w:val="18"/>
                <w:szCs w:val="18"/>
              </w:rPr>
            </w:pPr>
            <w:hyperlink r:id="rId12" w:history="1">
              <w:r w:rsidR="00CF7944" w:rsidRPr="00CF7944">
                <w:rPr>
                  <w:rStyle w:val="Hyperlink"/>
                  <w:sz w:val="18"/>
                  <w:szCs w:val="18"/>
                </w:rPr>
                <w:t>https://www.eif.org.uk/report/adverse-childhood-experiences-what-we-know-what-we-dont-know-and-what-should-happen-next</w:t>
              </w:r>
            </w:hyperlink>
          </w:p>
          <w:p w14:paraId="4609ED1C" w14:textId="77777777" w:rsidR="00CF7944" w:rsidRDefault="00021659" w:rsidP="00DD079D">
            <w:pPr>
              <w:spacing w:line="276" w:lineRule="auto"/>
              <w:rPr>
                <w:rStyle w:val="Hyperlink"/>
                <w:sz w:val="18"/>
                <w:szCs w:val="18"/>
              </w:rPr>
            </w:pPr>
            <w:hyperlink r:id="rId13" w:history="1">
              <w:r w:rsidR="00CF7944" w:rsidRPr="00CF7944">
                <w:rPr>
                  <w:rStyle w:val="Hyperlink"/>
                  <w:sz w:val="18"/>
                  <w:szCs w:val="18"/>
                </w:rPr>
                <w:t>https://educationendowmentfoundation.org.uk/public/files/Publications/Behaviour/EEF_Improving_behaviour_in_schools_Report.pdf</w:t>
              </w:r>
            </w:hyperlink>
          </w:p>
          <w:p w14:paraId="1A1BB4AC" w14:textId="133B86A5" w:rsidR="008A3FFF" w:rsidRDefault="008A3FFF" w:rsidP="00DD079D">
            <w:pPr>
              <w:spacing w:line="276" w:lineRule="auto"/>
              <w:rPr>
                <w:rStyle w:val="Hyperlink"/>
                <w:sz w:val="18"/>
                <w:szCs w:val="18"/>
              </w:rPr>
            </w:pPr>
          </w:p>
          <w:p w14:paraId="6DA91CD7" w14:textId="77777777" w:rsidR="00E96E1F" w:rsidRDefault="00E96E1F" w:rsidP="00DD079D">
            <w:pPr>
              <w:spacing w:line="276" w:lineRule="auto"/>
              <w:rPr>
                <w:rStyle w:val="Hyperlink"/>
                <w:sz w:val="18"/>
                <w:szCs w:val="18"/>
              </w:rPr>
            </w:pPr>
          </w:p>
          <w:p w14:paraId="1E734F47" w14:textId="3BFDD0AE" w:rsidR="008A3FFF" w:rsidRPr="00DD079D" w:rsidRDefault="00021659" w:rsidP="00DD079D">
            <w:pPr>
              <w:spacing w:line="276" w:lineRule="auto"/>
              <w:rPr>
                <w:sz w:val="22"/>
                <w:szCs w:val="22"/>
              </w:rPr>
            </w:pPr>
            <w:hyperlink r:id="rId14" w:history="1">
              <w:r w:rsidR="00E96E1F" w:rsidRPr="00E96E1F">
                <w:rPr>
                  <w:rStyle w:val="Hyperlink"/>
                  <w:sz w:val="22"/>
                  <w:szCs w:val="22"/>
                </w:rPr>
                <w:t>https://www.educationdesty.com/desty-pilot</w:t>
              </w:r>
            </w:hyperlink>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516F8" w14:textId="27E9FCE0" w:rsidR="00DB449E" w:rsidRDefault="00DA6D53">
            <w:pPr>
              <w:pStyle w:val="TableRowCentered"/>
              <w:jc w:val="left"/>
              <w:rPr>
                <w:sz w:val="22"/>
              </w:rPr>
            </w:pPr>
            <w:r>
              <w:rPr>
                <w:sz w:val="22"/>
              </w:rPr>
              <w:t>1, 2, 3, 4, 6</w:t>
            </w:r>
          </w:p>
        </w:tc>
      </w:tr>
      <w:tr w:rsidR="005B3812" w14:paraId="402A4FA5" w14:textId="77777777" w:rsidTr="00FF625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8786A" w14:textId="5F86E02A" w:rsidR="005B3812" w:rsidRPr="00DD079D" w:rsidRDefault="005B3812" w:rsidP="00DD079D">
            <w:pPr>
              <w:suppressAutoHyphens w:val="0"/>
              <w:spacing w:before="60" w:after="0" w:line="276" w:lineRule="auto"/>
              <w:ind w:left="29"/>
              <w:rPr>
                <w:rFonts w:cs="Arial"/>
                <w:iCs/>
                <w:color w:val="auto"/>
                <w:sz w:val="22"/>
                <w:szCs w:val="22"/>
                <w:lang w:val="en-US" w:eastAsia="en-US"/>
              </w:rPr>
            </w:pPr>
            <w:r>
              <w:rPr>
                <w:rFonts w:cs="Arial"/>
                <w:iCs/>
                <w:color w:val="auto"/>
                <w:sz w:val="22"/>
                <w:szCs w:val="22"/>
                <w:lang w:val="en-US" w:eastAsia="en-US"/>
              </w:rPr>
              <w:t xml:space="preserve">Access to White Rose on-demand CPD (£420) to allow staff to develop their knowledge and understanding of </w:t>
            </w:r>
            <w:proofErr w:type="spellStart"/>
            <w:r>
              <w:rPr>
                <w:rFonts w:cs="Arial"/>
                <w:iCs/>
                <w:color w:val="auto"/>
                <w:sz w:val="22"/>
                <w:szCs w:val="22"/>
                <w:lang w:val="en-US" w:eastAsia="en-US"/>
              </w:rPr>
              <w:t>maths</w:t>
            </w:r>
            <w:proofErr w:type="spellEnd"/>
            <w:r>
              <w:rPr>
                <w:rFonts w:cs="Arial"/>
                <w:iCs/>
                <w:color w:val="auto"/>
                <w:sz w:val="22"/>
                <w:szCs w:val="22"/>
                <w:lang w:val="en-US" w:eastAsia="en-US"/>
              </w:rPr>
              <w:t xml:space="preserve"> key elements with reference to White Rose. </w:t>
            </w:r>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122DF" w14:textId="43356605" w:rsidR="005B3812" w:rsidRPr="005B3812" w:rsidRDefault="005B3812" w:rsidP="005B3812">
            <w:pPr>
              <w:rPr>
                <w:rFonts w:cstheme="minorHAnsi"/>
                <w:color w:val="202124"/>
                <w:sz w:val="22"/>
                <w:szCs w:val="22"/>
                <w:shd w:val="clear" w:color="auto" w:fill="FFFFFF"/>
              </w:rPr>
            </w:pPr>
            <w:r w:rsidRPr="005B3812">
              <w:rPr>
                <w:rFonts w:cstheme="minorHAnsi"/>
                <w:color w:val="202124"/>
                <w:sz w:val="22"/>
                <w:szCs w:val="22"/>
                <w:shd w:val="clear" w:color="auto" w:fill="FFFFFF"/>
              </w:rPr>
              <w:t>The DfE non-statutory guidance has been produced in conjunction with the National Centre for Excellence in the Teaching of Maths, drawing on evidence-based approaches.</w:t>
            </w:r>
          </w:p>
          <w:p w14:paraId="41197F52" w14:textId="7297A04F" w:rsidR="005B3812" w:rsidRPr="005B3812" w:rsidRDefault="00021659" w:rsidP="005B3812">
            <w:pPr>
              <w:rPr>
                <w:rFonts w:cstheme="minorHAnsi"/>
                <w:color w:val="202124"/>
                <w:sz w:val="22"/>
                <w:szCs w:val="22"/>
                <w:shd w:val="clear" w:color="auto" w:fill="FFFFFF"/>
              </w:rPr>
            </w:pPr>
            <w:hyperlink r:id="rId15" w:history="1">
              <w:r w:rsidR="005B3812" w:rsidRPr="005B3812">
                <w:rPr>
                  <w:rStyle w:val="Hyperlink"/>
                  <w:rFonts w:cstheme="minorHAnsi"/>
                  <w:sz w:val="22"/>
                  <w:szCs w:val="22"/>
                  <w:shd w:val="clear" w:color="auto" w:fill="FFFFFF"/>
                </w:rPr>
                <w:t>https://assets.publishing.service.gov.uk/government/uploads/system/uploads/attachment_data/file/1017683/Maths_guidance_KS_1_and_2.pdf</w:t>
              </w:r>
            </w:hyperlink>
          </w:p>
          <w:p w14:paraId="5D1878FD" w14:textId="3DEDF661" w:rsidR="005B3812" w:rsidRPr="005B3812" w:rsidRDefault="00021659" w:rsidP="005B3812">
            <w:pPr>
              <w:rPr>
                <w:rStyle w:val="Hyperlink"/>
                <w:sz w:val="22"/>
                <w:szCs w:val="22"/>
              </w:rPr>
            </w:pPr>
            <w:hyperlink r:id="rId16" w:history="1">
              <w:r w:rsidR="005B3812" w:rsidRPr="005B3812">
                <w:rPr>
                  <w:rStyle w:val="Hyperlink"/>
                  <w:sz w:val="22"/>
                  <w:szCs w:val="22"/>
                </w:rPr>
                <w:t>https://educationendowmentfoundation.org.uk/education-evidence/teaching-learning-toolkit/mastery-learning</w:t>
              </w:r>
            </w:hyperlink>
          </w:p>
          <w:p w14:paraId="0EE67348" w14:textId="77777777" w:rsidR="005B3812" w:rsidRPr="005B3812" w:rsidRDefault="00021659" w:rsidP="005B3812">
            <w:pPr>
              <w:rPr>
                <w:sz w:val="22"/>
                <w:szCs w:val="22"/>
              </w:rPr>
            </w:pPr>
            <w:hyperlink r:id="rId17" w:history="1">
              <w:r w:rsidR="005B3812" w:rsidRPr="005B3812">
                <w:rPr>
                  <w:rStyle w:val="Hyperlink"/>
                  <w:sz w:val="22"/>
                  <w:szCs w:val="22"/>
                </w:rPr>
                <w:t>https://www.gov.uk/government/publications/research-review-series-mathematics/research-review-series-mathematics</w:t>
              </w:r>
            </w:hyperlink>
          </w:p>
          <w:p w14:paraId="35E03387" w14:textId="77777777" w:rsidR="005B3812" w:rsidRPr="00DD079D" w:rsidRDefault="005B3812" w:rsidP="005B3812">
            <w:pPr>
              <w:pStyle w:val="NormalWeb"/>
              <w:shd w:val="clear" w:color="auto" w:fill="F7F8F9"/>
              <w:spacing w:line="360" w:lineRule="atLeast"/>
              <w:rPr>
                <w:rFonts w:cs="Arial"/>
                <w:sz w:val="22"/>
                <w:szCs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5A4A5" w14:textId="57E5079A" w:rsidR="005B3812" w:rsidRDefault="00F11AFC">
            <w:pPr>
              <w:pStyle w:val="TableRowCentered"/>
              <w:jc w:val="left"/>
              <w:rPr>
                <w:sz w:val="22"/>
              </w:rPr>
            </w:pPr>
            <w:r>
              <w:rPr>
                <w:sz w:val="22"/>
              </w:rPr>
              <w:t>1, 6</w:t>
            </w:r>
          </w:p>
        </w:tc>
      </w:tr>
      <w:tr w:rsidR="00D13198" w14:paraId="44E8098A" w14:textId="77777777" w:rsidTr="00FF625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96649" w14:textId="77777777" w:rsidR="00D13198" w:rsidRPr="00D13198" w:rsidRDefault="00D13198" w:rsidP="00D13198">
            <w:pPr>
              <w:rPr>
                <w:sz w:val="22"/>
                <w:szCs w:val="22"/>
              </w:rPr>
            </w:pPr>
            <w:r w:rsidRPr="00D13198">
              <w:rPr>
                <w:sz w:val="22"/>
                <w:szCs w:val="22"/>
              </w:rPr>
              <w:t xml:space="preserve">Intervention teaching assistants to provide targeted academic support and to </w:t>
            </w:r>
            <w:proofErr w:type="gramStart"/>
            <w:r w:rsidRPr="00D13198">
              <w:rPr>
                <w:sz w:val="22"/>
                <w:szCs w:val="22"/>
              </w:rPr>
              <w:t>skilfully and explicitly link</w:t>
            </w:r>
            <w:proofErr w:type="gramEnd"/>
            <w:r w:rsidRPr="00D13198">
              <w:rPr>
                <w:sz w:val="22"/>
                <w:szCs w:val="22"/>
              </w:rPr>
              <w:t xml:space="preserve"> structured 1:1/small </w:t>
            </w:r>
            <w:r w:rsidRPr="00D13198">
              <w:rPr>
                <w:sz w:val="22"/>
                <w:szCs w:val="22"/>
              </w:rPr>
              <w:lastRenderedPageBreak/>
              <w:t>group tasks to classroom teaching.</w:t>
            </w:r>
          </w:p>
          <w:p w14:paraId="31D5C840" w14:textId="77777777" w:rsidR="00D13198" w:rsidRPr="00D13198" w:rsidRDefault="00D13198" w:rsidP="00D13198">
            <w:pPr>
              <w:rPr>
                <w:sz w:val="22"/>
                <w:szCs w:val="22"/>
              </w:rPr>
            </w:pPr>
          </w:p>
          <w:p w14:paraId="71700EE5" w14:textId="6ADBA7E1" w:rsidR="00D13198" w:rsidRPr="00D13198" w:rsidRDefault="00D13198" w:rsidP="00D13198">
            <w:pPr>
              <w:rPr>
                <w:sz w:val="22"/>
                <w:szCs w:val="22"/>
              </w:rPr>
            </w:pPr>
            <w:r w:rsidRPr="00D13198">
              <w:rPr>
                <w:sz w:val="22"/>
                <w:szCs w:val="22"/>
              </w:rPr>
              <w:t>Interventions include:</w:t>
            </w:r>
          </w:p>
          <w:p w14:paraId="24037301" w14:textId="7B83F1E8" w:rsidR="00D13198" w:rsidRPr="00D13198" w:rsidRDefault="00D13198" w:rsidP="00D13198">
            <w:pPr>
              <w:pStyle w:val="ListParagraph"/>
              <w:numPr>
                <w:ilvl w:val="0"/>
                <w:numId w:val="16"/>
              </w:numPr>
              <w:spacing w:after="0"/>
              <w:rPr>
                <w:sz w:val="22"/>
                <w:szCs w:val="22"/>
              </w:rPr>
            </w:pPr>
            <w:r w:rsidRPr="00D13198">
              <w:rPr>
                <w:sz w:val="22"/>
                <w:szCs w:val="22"/>
              </w:rPr>
              <w:t>IDL (independent but children may need help to access)</w:t>
            </w:r>
          </w:p>
          <w:p w14:paraId="0FE44174" w14:textId="1C4225B4" w:rsidR="00D13198" w:rsidRDefault="00D13198" w:rsidP="00D13198">
            <w:pPr>
              <w:pStyle w:val="ListParagraph"/>
              <w:numPr>
                <w:ilvl w:val="0"/>
                <w:numId w:val="16"/>
              </w:numPr>
              <w:spacing w:after="0"/>
              <w:rPr>
                <w:sz w:val="22"/>
                <w:szCs w:val="22"/>
              </w:rPr>
            </w:pPr>
            <w:r w:rsidRPr="00D13198">
              <w:rPr>
                <w:sz w:val="22"/>
                <w:szCs w:val="22"/>
              </w:rPr>
              <w:t>SNIP – spellings</w:t>
            </w:r>
          </w:p>
          <w:p w14:paraId="30AD1879" w14:textId="13929680" w:rsidR="00D13198" w:rsidRDefault="00D13198" w:rsidP="00D13198">
            <w:pPr>
              <w:pStyle w:val="ListParagraph"/>
              <w:numPr>
                <w:ilvl w:val="0"/>
                <w:numId w:val="16"/>
              </w:numPr>
              <w:spacing w:after="0"/>
              <w:rPr>
                <w:sz w:val="22"/>
                <w:szCs w:val="22"/>
              </w:rPr>
            </w:pPr>
            <w:r>
              <w:rPr>
                <w:sz w:val="22"/>
                <w:szCs w:val="22"/>
              </w:rPr>
              <w:t>White Rose follow-up maths</w:t>
            </w:r>
          </w:p>
          <w:p w14:paraId="1BFE5DC8" w14:textId="77777777" w:rsidR="00D13198" w:rsidRDefault="00D13198" w:rsidP="00D13198">
            <w:pPr>
              <w:pStyle w:val="ListParagraph"/>
              <w:numPr>
                <w:ilvl w:val="0"/>
                <w:numId w:val="16"/>
              </w:numPr>
              <w:spacing w:after="0"/>
              <w:rPr>
                <w:sz w:val="22"/>
                <w:szCs w:val="22"/>
              </w:rPr>
            </w:pPr>
            <w:r>
              <w:rPr>
                <w:sz w:val="22"/>
                <w:szCs w:val="22"/>
              </w:rPr>
              <w:t>Handwriting (Write from the Start)</w:t>
            </w:r>
          </w:p>
          <w:p w14:paraId="39C7D0FB" w14:textId="77777777" w:rsidR="00D13198" w:rsidRDefault="00D13198" w:rsidP="00D13198">
            <w:pPr>
              <w:pStyle w:val="ListParagraph"/>
              <w:numPr>
                <w:ilvl w:val="0"/>
                <w:numId w:val="16"/>
              </w:numPr>
              <w:spacing w:after="0"/>
              <w:rPr>
                <w:sz w:val="22"/>
                <w:szCs w:val="22"/>
              </w:rPr>
            </w:pPr>
            <w:r>
              <w:rPr>
                <w:sz w:val="22"/>
                <w:szCs w:val="22"/>
              </w:rPr>
              <w:t>Socially Speaking</w:t>
            </w:r>
          </w:p>
          <w:p w14:paraId="5437CF5A" w14:textId="297751C9" w:rsidR="00A25756" w:rsidRDefault="00A25756" w:rsidP="00D13198">
            <w:pPr>
              <w:pStyle w:val="ListParagraph"/>
              <w:numPr>
                <w:ilvl w:val="0"/>
                <w:numId w:val="16"/>
              </w:numPr>
              <w:spacing w:after="0"/>
              <w:rPr>
                <w:sz w:val="22"/>
                <w:szCs w:val="22"/>
              </w:rPr>
            </w:pPr>
            <w:r>
              <w:rPr>
                <w:sz w:val="22"/>
                <w:szCs w:val="22"/>
              </w:rPr>
              <w:t>Sunshine club</w:t>
            </w:r>
          </w:p>
          <w:p w14:paraId="6BD6BFF7" w14:textId="77777777" w:rsidR="006F456A" w:rsidRDefault="006F456A" w:rsidP="00D13198">
            <w:pPr>
              <w:pStyle w:val="ListParagraph"/>
              <w:numPr>
                <w:ilvl w:val="0"/>
                <w:numId w:val="16"/>
              </w:numPr>
              <w:spacing w:after="0"/>
              <w:rPr>
                <w:sz w:val="22"/>
                <w:szCs w:val="22"/>
              </w:rPr>
            </w:pPr>
            <w:r>
              <w:rPr>
                <w:sz w:val="22"/>
                <w:szCs w:val="22"/>
              </w:rPr>
              <w:t>Sensory club</w:t>
            </w:r>
          </w:p>
          <w:p w14:paraId="1CE2FF5A" w14:textId="77777777" w:rsidR="006F456A" w:rsidRDefault="006F456A" w:rsidP="00D13198">
            <w:pPr>
              <w:pStyle w:val="ListParagraph"/>
              <w:numPr>
                <w:ilvl w:val="0"/>
                <w:numId w:val="16"/>
              </w:numPr>
              <w:spacing w:after="0"/>
              <w:rPr>
                <w:sz w:val="22"/>
                <w:szCs w:val="22"/>
              </w:rPr>
            </w:pPr>
            <w:r>
              <w:rPr>
                <w:sz w:val="22"/>
                <w:szCs w:val="22"/>
              </w:rPr>
              <w:t>Daily readers</w:t>
            </w:r>
          </w:p>
          <w:p w14:paraId="0BD75140" w14:textId="77777777" w:rsidR="006F456A" w:rsidRDefault="009E1A24" w:rsidP="00D13198">
            <w:pPr>
              <w:pStyle w:val="ListParagraph"/>
              <w:numPr>
                <w:ilvl w:val="0"/>
                <w:numId w:val="16"/>
              </w:numPr>
              <w:spacing w:after="0"/>
              <w:rPr>
                <w:sz w:val="22"/>
                <w:szCs w:val="22"/>
              </w:rPr>
            </w:pPr>
            <w:r>
              <w:rPr>
                <w:sz w:val="22"/>
                <w:szCs w:val="22"/>
              </w:rPr>
              <w:t>Fresh start</w:t>
            </w:r>
          </w:p>
          <w:p w14:paraId="40C03432" w14:textId="626BB868" w:rsidR="00E96E1F" w:rsidRPr="00D13198" w:rsidRDefault="00E96E1F" w:rsidP="00D13198">
            <w:pPr>
              <w:pStyle w:val="ListParagraph"/>
              <w:numPr>
                <w:ilvl w:val="0"/>
                <w:numId w:val="16"/>
              </w:numPr>
              <w:spacing w:after="0"/>
              <w:rPr>
                <w:sz w:val="22"/>
                <w:szCs w:val="22"/>
              </w:rPr>
            </w:pPr>
            <w:proofErr w:type="spellStart"/>
            <w:r>
              <w:rPr>
                <w:sz w:val="22"/>
                <w:szCs w:val="22"/>
              </w:rPr>
              <w:t>Desty</w:t>
            </w:r>
            <w:proofErr w:type="spellEnd"/>
          </w:p>
        </w:tc>
        <w:tc>
          <w:tcPr>
            <w:tcW w:w="5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CB641" w14:textId="77777777" w:rsidR="00D13198" w:rsidRPr="00D13198" w:rsidRDefault="00D13198" w:rsidP="00D13198">
            <w:pPr>
              <w:rPr>
                <w:sz w:val="22"/>
                <w:szCs w:val="22"/>
              </w:rPr>
            </w:pPr>
            <w:r w:rsidRPr="00D13198">
              <w:rPr>
                <w:sz w:val="22"/>
                <w:szCs w:val="22"/>
              </w:rPr>
              <w:lastRenderedPageBreak/>
              <w:t>Making best use of Teaching Assistants – EEF report</w:t>
            </w:r>
          </w:p>
          <w:p w14:paraId="4A9899F4" w14:textId="77777777" w:rsidR="00D13198" w:rsidRPr="00D13198" w:rsidRDefault="00D13198" w:rsidP="00D13198">
            <w:pPr>
              <w:pStyle w:val="ListParagraph"/>
              <w:numPr>
                <w:ilvl w:val="0"/>
                <w:numId w:val="14"/>
              </w:numPr>
              <w:suppressAutoHyphens w:val="0"/>
              <w:autoSpaceDN/>
              <w:spacing w:after="0" w:line="240" w:lineRule="auto"/>
              <w:rPr>
                <w:sz w:val="22"/>
                <w:szCs w:val="22"/>
              </w:rPr>
            </w:pPr>
            <w:r w:rsidRPr="00D13198">
              <w:rPr>
                <w:sz w:val="22"/>
                <w:szCs w:val="22"/>
              </w:rPr>
              <w:t xml:space="preserve">Evidence-based interventions adopted – all with clear starting points and regular monitoring/impact reviews, </w:t>
            </w:r>
            <w:proofErr w:type="gramStart"/>
            <w:r w:rsidRPr="00D13198">
              <w:rPr>
                <w:sz w:val="22"/>
                <w:szCs w:val="22"/>
              </w:rPr>
              <w:t>assessments</w:t>
            </w:r>
            <w:proofErr w:type="gramEnd"/>
            <w:r w:rsidRPr="00D13198">
              <w:rPr>
                <w:sz w:val="22"/>
                <w:szCs w:val="22"/>
              </w:rPr>
              <w:t xml:space="preserve"> and end points.</w:t>
            </w:r>
          </w:p>
          <w:p w14:paraId="5B570446" w14:textId="77777777" w:rsidR="00D13198" w:rsidRPr="00D13198" w:rsidRDefault="00D13198" w:rsidP="00D13198">
            <w:pPr>
              <w:pStyle w:val="ListParagraph"/>
              <w:numPr>
                <w:ilvl w:val="0"/>
                <w:numId w:val="14"/>
              </w:numPr>
              <w:suppressAutoHyphens w:val="0"/>
              <w:autoSpaceDN/>
              <w:spacing w:after="0" w:line="240" w:lineRule="auto"/>
              <w:rPr>
                <w:sz w:val="22"/>
                <w:szCs w:val="22"/>
              </w:rPr>
            </w:pPr>
            <w:r w:rsidRPr="00D13198">
              <w:rPr>
                <w:sz w:val="22"/>
                <w:szCs w:val="22"/>
              </w:rPr>
              <w:t>Enhanced by a programme of CPD/appraisal cycle for Teaching Assistants.</w:t>
            </w:r>
          </w:p>
          <w:p w14:paraId="344BDB14" w14:textId="77777777" w:rsidR="00D13198" w:rsidRPr="00D13198" w:rsidRDefault="00D13198" w:rsidP="00D13198">
            <w:pPr>
              <w:pStyle w:val="ListParagraph"/>
              <w:numPr>
                <w:ilvl w:val="0"/>
                <w:numId w:val="14"/>
              </w:numPr>
              <w:suppressAutoHyphens w:val="0"/>
              <w:autoSpaceDN/>
              <w:spacing w:after="0" w:line="240" w:lineRule="auto"/>
              <w:rPr>
                <w:sz w:val="22"/>
                <w:szCs w:val="22"/>
              </w:rPr>
            </w:pPr>
            <w:r w:rsidRPr="00D13198">
              <w:rPr>
                <w:sz w:val="22"/>
                <w:szCs w:val="22"/>
              </w:rPr>
              <w:t>Explicit links to classroom teaching made.</w:t>
            </w:r>
          </w:p>
          <w:p w14:paraId="5D206C73" w14:textId="77777777" w:rsidR="00D13198" w:rsidRPr="00D13198" w:rsidRDefault="00D13198" w:rsidP="00D13198">
            <w:pPr>
              <w:rPr>
                <w:sz w:val="22"/>
                <w:szCs w:val="22"/>
              </w:rPr>
            </w:pPr>
          </w:p>
          <w:p w14:paraId="3FED5DFB" w14:textId="77777777" w:rsidR="00D13198" w:rsidRPr="00D13198" w:rsidRDefault="00021659" w:rsidP="00D13198">
            <w:pPr>
              <w:rPr>
                <w:sz w:val="22"/>
                <w:szCs w:val="22"/>
              </w:rPr>
            </w:pPr>
            <w:hyperlink r:id="rId18" w:history="1">
              <w:r w:rsidR="00D13198" w:rsidRPr="00D13198">
                <w:rPr>
                  <w:rStyle w:val="Hyperlink"/>
                  <w:sz w:val="22"/>
                  <w:szCs w:val="22"/>
                </w:rPr>
                <w:t>https://educationendowmentfoundation.org.uk/education-evidence/guidance-reports/teaching-assistants</w:t>
              </w:r>
            </w:hyperlink>
          </w:p>
          <w:p w14:paraId="103B36BC" w14:textId="77777777" w:rsidR="00D13198" w:rsidRPr="00D13198" w:rsidRDefault="00D13198" w:rsidP="00D13198">
            <w:pPr>
              <w:rPr>
                <w:sz w:val="22"/>
                <w:szCs w:val="22"/>
              </w:rPr>
            </w:pPr>
            <w:r w:rsidRPr="00D13198">
              <w:rPr>
                <w:sz w:val="22"/>
                <w:szCs w:val="22"/>
              </w:rPr>
              <w:t xml:space="preserve"> </w:t>
            </w:r>
          </w:p>
          <w:p w14:paraId="4AAF87E3" w14:textId="77777777" w:rsidR="00D13198" w:rsidRPr="00D13198" w:rsidRDefault="00D13198" w:rsidP="00D13198">
            <w:pPr>
              <w:rPr>
                <w:sz w:val="22"/>
                <w:szCs w:val="22"/>
              </w:rPr>
            </w:pPr>
          </w:p>
          <w:p w14:paraId="4AFCF524" w14:textId="77777777" w:rsidR="00D13198" w:rsidRPr="00D13198" w:rsidRDefault="00D13198" w:rsidP="00D13198">
            <w:pPr>
              <w:rPr>
                <w:sz w:val="22"/>
                <w:szCs w:val="22"/>
              </w:rPr>
            </w:pPr>
          </w:p>
          <w:p w14:paraId="289F44FF" w14:textId="77777777" w:rsidR="00D13198" w:rsidRPr="00D13198" w:rsidRDefault="00D13198" w:rsidP="00D13198">
            <w:pPr>
              <w:rPr>
                <w:rFonts w:cstheme="minorHAnsi"/>
                <w:color w:val="202124"/>
                <w:sz w:val="22"/>
                <w:szCs w:val="22"/>
                <w:shd w:val="clear" w:color="auto" w:fill="FFFFFF"/>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6B485" w14:textId="233A55EC" w:rsidR="00D13198" w:rsidRDefault="00D13198" w:rsidP="00D13198">
            <w:pPr>
              <w:pStyle w:val="TableRowCentered"/>
              <w:jc w:val="left"/>
              <w:rPr>
                <w:sz w:val="22"/>
              </w:rPr>
            </w:pPr>
            <w:r>
              <w:lastRenderedPageBreak/>
              <w:t>1, 2, 3, 4, 5, 6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4006A17" w:rsidR="00E66558" w:rsidRDefault="009D71E8">
      <w:r w:rsidRPr="00755466">
        <w:t>Budgeted cost: £</w:t>
      </w:r>
      <w:r w:rsidR="00755466" w:rsidRPr="00755466">
        <w:t>7,000</w:t>
      </w:r>
    </w:p>
    <w:tbl>
      <w:tblPr>
        <w:tblW w:w="5303" w:type="pct"/>
        <w:tblLayout w:type="fixed"/>
        <w:tblCellMar>
          <w:left w:w="10" w:type="dxa"/>
          <w:right w:w="10" w:type="dxa"/>
        </w:tblCellMar>
        <w:tblLook w:val="04A0" w:firstRow="1" w:lastRow="0" w:firstColumn="1" w:lastColumn="0" w:noHBand="0" w:noVBand="1"/>
      </w:tblPr>
      <w:tblGrid>
        <w:gridCol w:w="2263"/>
        <w:gridCol w:w="6318"/>
        <w:gridCol w:w="1480"/>
      </w:tblGrid>
      <w:tr w:rsidR="00E66558" w14:paraId="2A7D5528" w14:textId="77777777" w:rsidTr="005B3812">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3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5422A" w14:paraId="2A7D552C" w14:textId="77777777" w:rsidTr="005B3812">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30794A8" w:rsidR="00DA6D53" w:rsidRPr="009D08DC" w:rsidRDefault="0005422A" w:rsidP="00DA6D53">
            <w:pPr>
              <w:pStyle w:val="TableRow"/>
              <w:rPr>
                <w:rFonts w:cs="Arial"/>
                <w:iCs/>
                <w:color w:val="auto"/>
                <w:sz w:val="22"/>
                <w:szCs w:val="22"/>
                <w:lang w:val="en-US"/>
              </w:rPr>
            </w:pPr>
            <w:r w:rsidRPr="009D08DC">
              <w:rPr>
                <w:rFonts w:cs="Arial"/>
                <w:iCs/>
                <w:color w:val="auto"/>
                <w:sz w:val="22"/>
                <w:szCs w:val="22"/>
                <w:lang w:val="en-US"/>
              </w:rPr>
              <w:t>Additional phonics sessions targeted at disadvantaged pupils who require further phonics support</w:t>
            </w: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39D8" w14:textId="77777777" w:rsidR="0005422A" w:rsidRPr="009D08DC" w:rsidRDefault="0005422A" w:rsidP="0005422A">
            <w:pPr>
              <w:pStyle w:val="TableRowCentered"/>
              <w:jc w:val="left"/>
              <w:rPr>
                <w:rFonts w:cs="Arial"/>
                <w:color w:val="auto"/>
                <w:sz w:val="22"/>
                <w:szCs w:val="22"/>
              </w:rPr>
            </w:pPr>
            <w:r w:rsidRPr="009D08DC">
              <w:rPr>
                <w:rFonts w:cs="Arial"/>
                <w:color w:val="auto"/>
                <w:sz w:val="22"/>
                <w:szCs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A7D552A" w14:textId="6A7DD63A" w:rsidR="0005422A" w:rsidRPr="009D08DC" w:rsidRDefault="00021659" w:rsidP="0005422A">
            <w:pPr>
              <w:pStyle w:val="TableRowCentered"/>
              <w:jc w:val="left"/>
              <w:rPr>
                <w:sz w:val="22"/>
                <w:szCs w:val="22"/>
              </w:rPr>
            </w:pPr>
            <w:hyperlink r:id="rId19" w:history="1">
              <w:r w:rsidR="0005422A" w:rsidRPr="009D08DC">
                <w:rPr>
                  <w:color w:val="0070C0"/>
                  <w:sz w:val="22"/>
                  <w:szCs w:val="22"/>
                  <w:u w:val="single"/>
                </w:rPr>
                <w:t>Phonics | Toolkit Strand | Education Endowment Foundation | EEF</w:t>
              </w:r>
            </w:hyperlink>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696F15E" w:rsidR="0005422A" w:rsidRDefault="00DA6D53" w:rsidP="0005422A">
            <w:pPr>
              <w:pStyle w:val="TableRowCentered"/>
              <w:jc w:val="left"/>
              <w:rPr>
                <w:sz w:val="22"/>
              </w:rPr>
            </w:pPr>
            <w:r>
              <w:rPr>
                <w:sz w:val="22"/>
              </w:rPr>
              <w:t>4</w:t>
            </w:r>
          </w:p>
        </w:tc>
      </w:tr>
      <w:tr w:rsidR="0005422A" w14:paraId="2A7D5530" w14:textId="77777777" w:rsidTr="005B3812">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D5052A7" w:rsidR="0005422A" w:rsidRPr="009D08DC" w:rsidRDefault="0005422A" w:rsidP="0005422A">
            <w:pPr>
              <w:pStyle w:val="TableRow"/>
              <w:rPr>
                <w:iCs/>
                <w:sz w:val="22"/>
              </w:rPr>
            </w:pPr>
            <w:r w:rsidRPr="009D08DC">
              <w:rPr>
                <w:iCs/>
                <w:sz w:val="22"/>
              </w:rPr>
              <w:t>Additional maths sessions</w:t>
            </w: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E2C4C" w14:textId="77777777" w:rsidR="005B3812" w:rsidRPr="009D08DC" w:rsidRDefault="005B3812" w:rsidP="005B3812">
            <w:pPr>
              <w:rPr>
                <w:rFonts w:cstheme="minorHAnsi"/>
                <w:color w:val="202124"/>
                <w:sz w:val="22"/>
                <w:shd w:val="clear" w:color="auto" w:fill="FFFFFF"/>
              </w:rPr>
            </w:pPr>
            <w:r w:rsidRPr="009D08DC">
              <w:rPr>
                <w:rFonts w:cstheme="minorHAnsi"/>
                <w:color w:val="202124"/>
                <w:sz w:val="22"/>
                <w:shd w:val="clear" w:color="auto" w:fill="FFFFFF"/>
              </w:rPr>
              <w:t>The DfE non-statutory guidance has been produced in conjunction with the National Centre for Excellence in the Teaching of Maths, drawing on evidence-based approaches.</w:t>
            </w:r>
          </w:p>
          <w:p w14:paraId="13B63422" w14:textId="77777777" w:rsidR="005B3812" w:rsidRPr="009D08DC" w:rsidRDefault="00021659" w:rsidP="005B3812">
            <w:pPr>
              <w:rPr>
                <w:rFonts w:cstheme="minorHAnsi"/>
                <w:color w:val="202124"/>
                <w:sz w:val="22"/>
                <w:shd w:val="clear" w:color="auto" w:fill="FFFFFF"/>
              </w:rPr>
            </w:pPr>
            <w:hyperlink r:id="rId20" w:history="1">
              <w:r w:rsidR="005B3812" w:rsidRPr="009D08DC">
                <w:rPr>
                  <w:rStyle w:val="Hyperlink"/>
                  <w:rFonts w:cstheme="minorHAnsi"/>
                  <w:sz w:val="22"/>
                  <w:shd w:val="clear" w:color="auto" w:fill="FFFFFF"/>
                </w:rPr>
                <w:t>https://assets.publishing.service.gov.uk/government/uploads/system/uploads/attachment_data/file/1017683/Maths_guidance_KS_1_and_2.pdf</w:t>
              </w:r>
            </w:hyperlink>
          </w:p>
          <w:p w14:paraId="4FFAABA1" w14:textId="77777777" w:rsidR="005B3812" w:rsidRPr="009D08DC" w:rsidRDefault="00021659" w:rsidP="005B3812">
            <w:pPr>
              <w:rPr>
                <w:rStyle w:val="Hyperlink"/>
                <w:sz w:val="22"/>
              </w:rPr>
            </w:pPr>
            <w:hyperlink r:id="rId21" w:history="1">
              <w:r w:rsidR="005B3812" w:rsidRPr="009D08DC">
                <w:rPr>
                  <w:rStyle w:val="Hyperlink"/>
                  <w:sz w:val="22"/>
                </w:rPr>
                <w:t>https://educationendowmentfoundation.org.uk/education-evidence/teaching-learning-toolkit/mastery-learning</w:t>
              </w:r>
            </w:hyperlink>
          </w:p>
          <w:p w14:paraId="5E9730EE" w14:textId="77777777" w:rsidR="005B3812" w:rsidRPr="009D08DC" w:rsidRDefault="00021659" w:rsidP="005B3812">
            <w:pPr>
              <w:rPr>
                <w:sz w:val="22"/>
              </w:rPr>
            </w:pPr>
            <w:hyperlink r:id="rId22" w:history="1">
              <w:r w:rsidR="005B3812" w:rsidRPr="009D08DC">
                <w:rPr>
                  <w:rStyle w:val="Hyperlink"/>
                  <w:sz w:val="22"/>
                </w:rPr>
                <w:t>https://www.gov.uk/government/publications/research-review-series-mathematics/research-review-series-mathematics</w:t>
              </w:r>
            </w:hyperlink>
          </w:p>
          <w:p w14:paraId="2A7D552E" w14:textId="77777777" w:rsidR="0005422A" w:rsidRPr="009D08DC" w:rsidRDefault="0005422A" w:rsidP="0005422A">
            <w:pPr>
              <w:pStyle w:val="TableRowCentered"/>
              <w:jc w:val="left"/>
              <w:rPr>
                <w:sz w:val="22"/>
                <w:szCs w:val="24"/>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46C84B1" w:rsidR="0005422A" w:rsidRDefault="00DA6D53" w:rsidP="0005422A">
            <w:pPr>
              <w:pStyle w:val="TableRowCentered"/>
              <w:jc w:val="left"/>
              <w:rPr>
                <w:sz w:val="22"/>
              </w:rPr>
            </w:pPr>
            <w:r>
              <w:rPr>
                <w:sz w:val="22"/>
              </w:rPr>
              <w:lastRenderedPageBreak/>
              <w:t>1, 6</w:t>
            </w:r>
          </w:p>
        </w:tc>
      </w:tr>
      <w:tr w:rsidR="0005422A" w14:paraId="340EDF0D" w14:textId="77777777" w:rsidTr="005B3812">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870A7" w14:textId="5412B430" w:rsidR="0005422A" w:rsidRPr="00DA6D53" w:rsidRDefault="0005422A" w:rsidP="0005422A">
            <w:pPr>
              <w:pStyle w:val="TableRow"/>
              <w:rPr>
                <w:iCs/>
                <w:szCs w:val="28"/>
              </w:rPr>
            </w:pPr>
            <w:r w:rsidRPr="00DA6D53">
              <w:rPr>
                <w:iCs/>
                <w:szCs w:val="28"/>
              </w:rPr>
              <w:t>Handwriting</w:t>
            </w: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F9F28" w14:textId="77777777" w:rsidR="0005422A" w:rsidRDefault="00021659" w:rsidP="0005422A">
            <w:pPr>
              <w:pStyle w:val="TableRowCentered"/>
              <w:jc w:val="left"/>
              <w:rPr>
                <w:sz w:val="22"/>
              </w:rPr>
            </w:pPr>
            <w:hyperlink r:id="rId23" w:history="1">
              <w:r w:rsidR="009D08DC" w:rsidRPr="009D08DC">
                <w:rPr>
                  <w:rStyle w:val="Hyperlink"/>
                  <w:sz w:val="22"/>
                </w:rPr>
                <w:t>https://assets.publishing.service.gov.uk/government/uploads/system/uploads/attachment_data/file/183399/DFE-RR238.pdf</w:t>
              </w:r>
            </w:hyperlink>
          </w:p>
          <w:p w14:paraId="42BC4A73" w14:textId="77777777" w:rsidR="009D08DC" w:rsidRDefault="009D08DC" w:rsidP="0005422A">
            <w:pPr>
              <w:pStyle w:val="TableRowCentered"/>
              <w:jc w:val="left"/>
              <w:rPr>
                <w:sz w:val="22"/>
              </w:rPr>
            </w:pPr>
          </w:p>
          <w:p w14:paraId="3DD6AD21" w14:textId="29DE1F57" w:rsidR="009D08DC" w:rsidRDefault="00021659" w:rsidP="0005422A">
            <w:pPr>
              <w:pStyle w:val="TableRowCentered"/>
              <w:jc w:val="left"/>
              <w:rPr>
                <w:sz w:val="22"/>
              </w:rPr>
            </w:pPr>
            <w:hyperlink r:id="rId24" w:history="1">
              <w:r w:rsidR="009D08DC" w:rsidRPr="009D08DC">
                <w:rPr>
                  <w:rStyle w:val="Hyperlink"/>
                  <w:sz w:val="22"/>
                </w:rPr>
                <w:t>https://educationendowmentfoundation.org.uk/projects-and-evaluation/projects/helping-handwriting-shine</w:t>
              </w:r>
            </w:hyperlink>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AB91" w14:textId="77777777" w:rsidR="0005422A" w:rsidRDefault="0005422A" w:rsidP="0005422A">
            <w:pPr>
              <w:pStyle w:val="TableRowCentered"/>
              <w:jc w:val="left"/>
              <w:rPr>
                <w:sz w:val="22"/>
              </w:rPr>
            </w:pPr>
          </w:p>
        </w:tc>
      </w:tr>
      <w:tr w:rsidR="0005422A" w14:paraId="30C921E8" w14:textId="77777777" w:rsidTr="005B3812">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A4067" w14:textId="11326742" w:rsidR="0005422A" w:rsidRDefault="0005422A" w:rsidP="0005422A">
            <w:pPr>
              <w:pStyle w:val="TableRow"/>
              <w:rPr>
                <w:iCs/>
                <w:sz w:val="22"/>
              </w:rPr>
            </w:pPr>
            <w:r>
              <w:rPr>
                <w:iCs/>
                <w:sz w:val="22"/>
              </w:rPr>
              <w:t>1</w:t>
            </w:r>
            <w:r w:rsidR="009D08DC">
              <w:rPr>
                <w:iCs/>
                <w:sz w:val="22"/>
              </w:rPr>
              <w:t xml:space="preserve">:1 reading sessions </w:t>
            </w: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80F0" w14:textId="7BD99D11" w:rsidR="0005422A" w:rsidRDefault="00A8285C" w:rsidP="0005422A">
            <w:pPr>
              <w:pStyle w:val="TableRowCentered"/>
              <w:jc w:val="left"/>
              <w:rPr>
                <w:sz w:val="22"/>
              </w:rPr>
            </w:pPr>
            <w:r>
              <w:rPr>
                <w:sz w:val="22"/>
              </w:rPr>
              <w:t>Linked with resilience</w:t>
            </w:r>
            <w:r w:rsidR="008A3FFF">
              <w:rPr>
                <w:sz w:val="22"/>
              </w:rPr>
              <w:t xml:space="preserve"> to promote a love of reading and ensuring that children are heard read on a regular basis.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06901" w14:textId="361C4B75" w:rsidR="0005422A" w:rsidRDefault="004439BD" w:rsidP="0005422A">
            <w:pPr>
              <w:pStyle w:val="TableRowCentered"/>
              <w:jc w:val="left"/>
              <w:rPr>
                <w:sz w:val="22"/>
              </w:rPr>
            </w:pPr>
            <w:r>
              <w:rPr>
                <w:sz w:val="22"/>
              </w:rPr>
              <w:t>1,4,6</w:t>
            </w:r>
          </w:p>
        </w:tc>
      </w:tr>
      <w:tr w:rsidR="003333F3" w14:paraId="5094BDA2" w14:textId="77777777" w:rsidTr="005B3812">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1FEB" w14:textId="3A2D2557" w:rsidR="003333F3" w:rsidRDefault="003333F3" w:rsidP="0005422A">
            <w:pPr>
              <w:pStyle w:val="TableRow"/>
              <w:rPr>
                <w:iCs/>
                <w:sz w:val="22"/>
              </w:rPr>
            </w:pPr>
            <w:r>
              <w:rPr>
                <w:iCs/>
                <w:sz w:val="22"/>
              </w:rPr>
              <w:t>1:1/small group ‘booster’ sessions</w:t>
            </w: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85556" w14:textId="78B3D394" w:rsidR="003333F3" w:rsidRDefault="001B3A73" w:rsidP="0005422A">
            <w:pPr>
              <w:pStyle w:val="TableRowCentered"/>
              <w:jc w:val="left"/>
              <w:rPr>
                <w:sz w:val="22"/>
              </w:rPr>
            </w:pPr>
            <w:r>
              <w:rPr>
                <w:sz w:val="22"/>
              </w:rPr>
              <w:t xml:space="preserve">EEF </w:t>
            </w:r>
            <w:r w:rsidR="00AF0744">
              <w:rPr>
                <w:sz w:val="22"/>
              </w:rPr>
              <w:t>evidence suggests 5 months additional months progress on average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E8B5A" w14:textId="6CD9CC88" w:rsidR="003333F3" w:rsidRDefault="004439BD" w:rsidP="0005422A">
            <w:pPr>
              <w:pStyle w:val="TableRowCentered"/>
              <w:jc w:val="left"/>
              <w:rPr>
                <w:sz w:val="22"/>
              </w:rPr>
            </w:pPr>
            <w:r>
              <w:rPr>
                <w:sz w:val="22"/>
              </w:rPr>
              <w:t>1,4,6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6858BD1" w:rsidR="00E66558" w:rsidRDefault="009D71E8">
      <w:pPr>
        <w:spacing w:before="240" w:after="120"/>
      </w:pPr>
      <w:r>
        <w:t xml:space="preserve">Budgeted cost: £ </w:t>
      </w:r>
      <w:r w:rsidR="00DC71E7">
        <w:rPr>
          <w:i/>
          <w:iCs/>
        </w:rPr>
        <w:t>31,000</w:t>
      </w:r>
    </w:p>
    <w:tbl>
      <w:tblPr>
        <w:tblW w:w="5000" w:type="pct"/>
        <w:tblCellMar>
          <w:left w:w="10" w:type="dxa"/>
          <w:right w:w="10" w:type="dxa"/>
        </w:tblCellMar>
        <w:tblLook w:val="04A0" w:firstRow="1" w:lastRow="0" w:firstColumn="1" w:lastColumn="0" w:noHBand="0" w:noVBand="1"/>
      </w:tblPr>
      <w:tblGrid>
        <w:gridCol w:w="1821"/>
        <w:gridCol w:w="6134"/>
        <w:gridCol w:w="1531"/>
      </w:tblGrid>
      <w:tr w:rsidR="00E66558" w14:paraId="2A7D5537" w14:textId="77777777" w:rsidTr="00F11AFC">
        <w:tc>
          <w:tcPr>
            <w:tcW w:w="18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1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05422A" w14:paraId="2A7D553B" w14:textId="77777777" w:rsidTr="00F11AF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55E1" w14:textId="77777777" w:rsidR="0005422A" w:rsidRPr="00E27862" w:rsidRDefault="0005422A" w:rsidP="0005422A">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5"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2A7D5538" w14:textId="2BAD5B0B" w:rsidR="0005422A" w:rsidRDefault="0005422A" w:rsidP="0005422A">
            <w:pPr>
              <w:pStyle w:val="TableRow"/>
            </w:pPr>
            <w:r w:rsidRPr="00E27862">
              <w:rPr>
                <w:iCs/>
                <w:color w:val="auto"/>
                <w:szCs w:val="28"/>
                <w:lang w:val="en-US"/>
              </w:rPr>
              <w:t>This will involve training and release time for staff to develop and implement new procedures</w:t>
            </w:r>
            <w:r w:rsidR="00F11AFC">
              <w:rPr>
                <w:iCs/>
                <w:color w:val="auto"/>
                <w:szCs w:val="28"/>
                <w:lang w:val="en-US"/>
              </w:rPr>
              <w:t>.</w:t>
            </w:r>
            <w:r w:rsidRPr="00E27862">
              <w:rPr>
                <w:iCs/>
                <w:color w:val="auto"/>
                <w:szCs w:val="28"/>
                <w:lang w:val="en-US"/>
              </w:rPr>
              <w:t xml:space="preserve"> </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55642" w14:textId="77777777" w:rsidR="003B4A1C" w:rsidRDefault="0005422A" w:rsidP="0005422A">
            <w:pPr>
              <w:pStyle w:val="TableRowCentered"/>
              <w:jc w:val="left"/>
              <w:rPr>
                <w:color w:val="auto"/>
              </w:rPr>
            </w:pPr>
            <w:r w:rsidRPr="00E27862">
              <w:rPr>
                <w:color w:val="auto"/>
              </w:rPr>
              <w:t>The DfE guidance has been informed by engagement with schools that have significantly reduced levels of absence and persistent absence</w:t>
            </w:r>
          </w:p>
          <w:p w14:paraId="02C06634" w14:textId="77777777" w:rsidR="003B4A1C" w:rsidRDefault="003B4A1C" w:rsidP="0005422A">
            <w:pPr>
              <w:pStyle w:val="TableRowCentered"/>
              <w:jc w:val="left"/>
              <w:rPr>
                <w:color w:val="auto"/>
              </w:rPr>
            </w:pPr>
          </w:p>
          <w:p w14:paraId="24DDAF34" w14:textId="77777777" w:rsidR="0005422A" w:rsidRDefault="00021659" w:rsidP="0005422A">
            <w:pPr>
              <w:pStyle w:val="TableRowCentered"/>
              <w:jc w:val="left"/>
              <w:rPr>
                <w:color w:val="auto"/>
              </w:rPr>
            </w:pPr>
            <w:hyperlink r:id="rId26" w:history="1">
              <w:r w:rsidR="003B4A1C" w:rsidRPr="003B4A1C">
                <w:rPr>
                  <w:rStyle w:val="Hyperlink"/>
                </w:rPr>
                <w:t>https://educationendowmentfoundation.org.uk/support-for-schools/school-improvement-planning/3-wider-strategies</w:t>
              </w:r>
              <w:r w:rsidR="0005422A" w:rsidRPr="003B4A1C">
                <w:rPr>
                  <w:rStyle w:val="Hyperlink"/>
                </w:rPr>
                <w:t>.</w:t>
              </w:r>
            </w:hyperlink>
            <w:r w:rsidR="0005422A" w:rsidRPr="00E27862">
              <w:rPr>
                <w:color w:val="auto"/>
              </w:rPr>
              <w:t xml:space="preserve"> </w:t>
            </w:r>
          </w:p>
          <w:p w14:paraId="2A7D5539" w14:textId="36F30A44" w:rsidR="00F11AFC" w:rsidRDefault="00F11AFC" w:rsidP="0005422A">
            <w:pPr>
              <w:pStyle w:val="TableRowCentered"/>
              <w:jc w:val="left"/>
              <w:rPr>
                <w:sz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6D6B2A1" w:rsidR="0005422A" w:rsidRDefault="003B4A1C" w:rsidP="0005422A">
            <w:pPr>
              <w:pStyle w:val="TableRowCentered"/>
              <w:jc w:val="left"/>
              <w:rPr>
                <w:sz w:val="22"/>
              </w:rPr>
            </w:pPr>
            <w:r>
              <w:rPr>
                <w:sz w:val="22"/>
              </w:rPr>
              <w:t>1-6</w:t>
            </w:r>
          </w:p>
        </w:tc>
      </w:tr>
      <w:tr w:rsidR="00F11AFC" w14:paraId="371514A8" w14:textId="77777777" w:rsidTr="00F11AF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1EE0" w14:textId="146D1F4A" w:rsidR="00F11AFC" w:rsidRPr="00E27862" w:rsidRDefault="00F11AFC" w:rsidP="00F11AFC">
            <w:pPr>
              <w:pStyle w:val="TableRow"/>
              <w:spacing w:after="120"/>
              <w:ind w:left="29"/>
              <w:rPr>
                <w:iCs/>
                <w:color w:val="auto"/>
                <w:szCs w:val="28"/>
                <w:lang w:val="en-US"/>
              </w:rPr>
            </w:pPr>
            <w:r>
              <w:rPr>
                <w:iCs/>
                <w:sz w:val="22"/>
                <w:szCs w:val="22"/>
              </w:rPr>
              <w:t xml:space="preserve">Attendance officer to work with families. </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609B1" w14:textId="77777777" w:rsidR="00F11AFC" w:rsidRPr="00190B93" w:rsidRDefault="00F11AFC" w:rsidP="00F11AFC">
            <w:pPr>
              <w:rPr>
                <w:sz w:val="22"/>
                <w:szCs w:val="22"/>
              </w:rPr>
            </w:pPr>
            <w:r w:rsidRPr="00190B93">
              <w:rPr>
                <w:sz w:val="22"/>
                <w:szCs w:val="22"/>
              </w:rPr>
              <w:t>Following Covid lockdowns our school attendance data shows that FSM attendance rates are lower than non-FSM attendance rates.</w:t>
            </w:r>
          </w:p>
          <w:p w14:paraId="34BE916F" w14:textId="77777777" w:rsidR="00F11AFC" w:rsidRPr="00190B93" w:rsidRDefault="00F11AFC" w:rsidP="00F11AFC">
            <w:pPr>
              <w:rPr>
                <w:sz w:val="22"/>
                <w:szCs w:val="22"/>
              </w:rPr>
            </w:pPr>
            <w:r w:rsidRPr="00190B93">
              <w:rPr>
                <w:sz w:val="22"/>
                <w:szCs w:val="22"/>
              </w:rPr>
              <w:lastRenderedPageBreak/>
              <w:t>Research by the Centre for Social Justice details the national impact of the Covid 19 pandemic upon school attendance – Kids Can’t Catch Up If They Don’t Show Up. If children miss school, they miss out.</w:t>
            </w:r>
          </w:p>
          <w:p w14:paraId="0DDE29C4" w14:textId="77777777" w:rsidR="00F11AFC" w:rsidRPr="00190B93" w:rsidRDefault="00021659" w:rsidP="00F11AFC">
            <w:pPr>
              <w:rPr>
                <w:sz w:val="22"/>
                <w:szCs w:val="22"/>
              </w:rPr>
            </w:pPr>
            <w:hyperlink r:id="rId27" w:history="1">
              <w:r w:rsidR="00F11AFC" w:rsidRPr="00190B93">
                <w:rPr>
                  <w:rStyle w:val="Hyperlink"/>
                  <w:sz w:val="22"/>
                  <w:szCs w:val="22"/>
                </w:rPr>
                <w:t>https://www.centreforsocialjustice.org.uk/wp-content/uploads/2021/06/Cant_Catch_Up_FULL-REPORT.pdf</w:t>
              </w:r>
            </w:hyperlink>
          </w:p>
          <w:p w14:paraId="6843788D" w14:textId="1EF500E6" w:rsidR="00F11AFC" w:rsidRPr="00E27862" w:rsidRDefault="00021659" w:rsidP="00F11AFC">
            <w:pPr>
              <w:pStyle w:val="TableRowCentered"/>
              <w:jc w:val="left"/>
              <w:rPr>
                <w:color w:val="auto"/>
              </w:rPr>
            </w:pPr>
            <w:hyperlink r:id="rId28" w:history="1">
              <w:r w:rsidR="00F11AFC" w:rsidRPr="00190B93">
                <w:rPr>
                  <w:rStyle w:val="Hyperlink"/>
                  <w:sz w:val="22"/>
                  <w:szCs w:val="22"/>
                </w:rPr>
                <w:t>https://www.gov.uk/government/publications/school-attendance/framework-for-securing-full-attendance-actions-for-schools-and-local-authorities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498C1" w14:textId="348A8AF1" w:rsidR="00F11AFC" w:rsidRDefault="00F11AFC" w:rsidP="00F11AFC">
            <w:pPr>
              <w:pStyle w:val="TableRowCentered"/>
              <w:jc w:val="left"/>
              <w:rPr>
                <w:sz w:val="22"/>
              </w:rPr>
            </w:pPr>
            <w:r>
              <w:rPr>
                <w:sz w:val="22"/>
              </w:rPr>
              <w:lastRenderedPageBreak/>
              <w:t>2</w:t>
            </w:r>
          </w:p>
        </w:tc>
      </w:tr>
      <w:tr w:rsidR="0005422A" w14:paraId="2A7D553F" w14:textId="77777777" w:rsidTr="00F11AF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A792" w14:textId="77777777" w:rsidR="0005422A" w:rsidRPr="00E27862" w:rsidRDefault="0005422A" w:rsidP="0005422A">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2A7D553C" w14:textId="77777777" w:rsidR="0005422A" w:rsidRDefault="0005422A" w:rsidP="0005422A">
            <w:pPr>
              <w:pStyle w:val="TableRow"/>
              <w:rPr>
                <w:i/>
                <w:sz w:val="22"/>
              </w:rPr>
            </w:pP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5BC4F79" w:rsidR="0005422A" w:rsidRDefault="0005422A" w:rsidP="0005422A">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05422A" w:rsidRDefault="0005422A" w:rsidP="0005422A">
            <w:pPr>
              <w:pStyle w:val="TableRowCentered"/>
              <w:jc w:val="left"/>
              <w:rPr>
                <w:sz w:val="22"/>
              </w:rPr>
            </w:pPr>
          </w:p>
        </w:tc>
      </w:tr>
      <w:tr w:rsidR="0005422A" w14:paraId="36CB0E85" w14:textId="77777777" w:rsidTr="00F11AF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A15CD" w14:textId="2E11621B" w:rsidR="0005422A" w:rsidRDefault="0005422A" w:rsidP="0005422A">
            <w:pPr>
              <w:suppressAutoHyphens w:val="0"/>
              <w:autoSpaceDN/>
              <w:spacing w:before="60" w:after="60" w:line="240" w:lineRule="auto"/>
              <w:ind w:left="29" w:right="57"/>
              <w:rPr>
                <w:iCs/>
                <w:color w:val="auto"/>
                <w:szCs w:val="28"/>
                <w:lang w:val="en-US"/>
              </w:rPr>
            </w:pPr>
            <w:r w:rsidRPr="00E27862">
              <w:rPr>
                <w:iCs/>
                <w:color w:val="auto"/>
                <w:szCs w:val="28"/>
                <w:lang w:val="en-US"/>
              </w:rPr>
              <w:t xml:space="preserve">Whole staff training on </w:t>
            </w:r>
            <w:r>
              <w:rPr>
                <w:iCs/>
                <w:color w:val="auto"/>
                <w:szCs w:val="28"/>
                <w:lang w:val="en-US"/>
              </w:rPr>
              <w:t>behaviour management</w:t>
            </w:r>
            <w:r w:rsidR="00E96E1F">
              <w:rPr>
                <w:iCs/>
                <w:color w:val="auto"/>
                <w:szCs w:val="28"/>
                <w:lang w:val="en-US"/>
              </w:rPr>
              <w:t xml:space="preserve"> (restorative conversations)</w:t>
            </w:r>
            <w:r>
              <w:rPr>
                <w:iCs/>
                <w:color w:val="auto"/>
                <w:szCs w:val="28"/>
                <w:lang w:val="en-US"/>
              </w:rPr>
              <w:t xml:space="preserve"> </w:t>
            </w:r>
            <w:r w:rsidR="00674787">
              <w:rPr>
                <w:iCs/>
                <w:color w:val="auto"/>
                <w:szCs w:val="28"/>
                <w:lang w:val="en-US"/>
              </w:rPr>
              <w:t>that forms the basis for a new behaviour policy.</w:t>
            </w:r>
          </w:p>
          <w:p w14:paraId="0CE51E51" w14:textId="1A3F5E96" w:rsidR="00674787" w:rsidRPr="00E27862" w:rsidRDefault="00674787" w:rsidP="0005422A">
            <w:pPr>
              <w:suppressAutoHyphens w:val="0"/>
              <w:autoSpaceDN/>
              <w:spacing w:before="60" w:after="60" w:line="240" w:lineRule="auto"/>
              <w:ind w:left="29" w:right="57"/>
              <w:rPr>
                <w:iCs/>
                <w:color w:val="auto"/>
                <w:szCs w:val="28"/>
                <w:lang w:val="en-US"/>
              </w:rPr>
            </w:pPr>
            <w:r>
              <w:rPr>
                <w:iCs/>
                <w:color w:val="auto"/>
                <w:szCs w:val="28"/>
                <w:lang w:val="en-US"/>
              </w:rPr>
              <w:t xml:space="preserve">Two members of staff trained to become </w:t>
            </w:r>
            <w:proofErr w:type="spellStart"/>
            <w:r>
              <w:rPr>
                <w:iCs/>
                <w:color w:val="auto"/>
                <w:szCs w:val="28"/>
                <w:lang w:val="en-US"/>
              </w:rPr>
              <w:t>Desty</w:t>
            </w:r>
            <w:proofErr w:type="spellEnd"/>
            <w:r>
              <w:rPr>
                <w:iCs/>
                <w:color w:val="auto"/>
                <w:szCs w:val="28"/>
                <w:lang w:val="en-US"/>
              </w:rPr>
              <w:t xml:space="preserve"> mentors. </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FF94B" w14:textId="77777777" w:rsidR="0005422A" w:rsidRPr="00E27862" w:rsidRDefault="0005422A" w:rsidP="0005422A">
            <w:pPr>
              <w:pStyle w:val="TableRowCentered"/>
              <w:ind w:left="32"/>
              <w:jc w:val="left"/>
              <w:rPr>
                <w:color w:val="auto"/>
              </w:rPr>
            </w:pPr>
            <w:r w:rsidRPr="00E27862">
              <w:rPr>
                <w:color w:val="auto"/>
              </w:rPr>
              <w:t>Both targeted interventions and universal approaches can have positive overall effects:</w:t>
            </w:r>
          </w:p>
          <w:p w14:paraId="09A60F4D" w14:textId="39B2027C" w:rsidR="0005422A" w:rsidRDefault="00021659" w:rsidP="0005422A">
            <w:pPr>
              <w:pStyle w:val="TableRowCentered"/>
              <w:jc w:val="left"/>
              <w:rPr>
                <w:color w:val="0070C0"/>
                <w:szCs w:val="24"/>
                <w:u w:val="single"/>
              </w:rPr>
            </w:pPr>
            <w:hyperlink r:id="rId29" w:history="1">
              <w:r w:rsidR="0005422A" w:rsidRPr="009A7AA4">
                <w:rPr>
                  <w:color w:val="0070C0"/>
                  <w:szCs w:val="24"/>
                  <w:u w:val="single"/>
                </w:rPr>
                <w:t>Behaviour interventions | EEF (educationendowmentfoundation.org.uk)</w:t>
              </w:r>
            </w:hyperlink>
          </w:p>
          <w:p w14:paraId="7D161CAB" w14:textId="77777777" w:rsidR="00674787" w:rsidRDefault="00674787" w:rsidP="0005422A">
            <w:pPr>
              <w:pStyle w:val="TableRowCentered"/>
              <w:jc w:val="left"/>
              <w:rPr>
                <w:color w:val="0070C0"/>
                <w:szCs w:val="24"/>
                <w:u w:val="single"/>
              </w:rPr>
            </w:pPr>
          </w:p>
          <w:p w14:paraId="383826F6" w14:textId="7753724B" w:rsidR="00674787" w:rsidRDefault="00021659" w:rsidP="0005422A">
            <w:pPr>
              <w:pStyle w:val="TableRowCentered"/>
              <w:jc w:val="left"/>
              <w:rPr>
                <w:color w:val="0070C0"/>
                <w:szCs w:val="24"/>
                <w:u w:val="single"/>
              </w:rPr>
            </w:pPr>
            <w:hyperlink r:id="rId30" w:history="1">
              <w:r w:rsidR="00674787" w:rsidRPr="00674787">
                <w:rPr>
                  <w:rStyle w:val="Hyperlink"/>
                  <w:szCs w:val="24"/>
                </w:rPr>
                <w:t>https://www.educationdesty.com/desty-island</w:t>
              </w:r>
            </w:hyperlink>
          </w:p>
          <w:p w14:paraId="69385FE7" w14:textId="77777777" w:rsidR="003B4A1C" w:rsidRDefault="003B4A1C" w:rsidP="0005422A">
            <w:pPr>
              <w:pStyle w:val="TableRowCentered"/>
              <w:jc w:val="left"/>
              <w:rPr>
                <w:color w:val="0070C0"/>
                <w:szCs w:val="24"/>
                <w:u w:val="single"/>
              </w:rPr>
            </w:pPr>
          </w:p>
          <w:p w14:paraId="4CC8B110" w14:textId="74DEA780" w:rsidR="003B4A1C" w:rsidRPr="00E27862" w:rsidRDefault="003B4A1C" w:rsidP="0005422A">
            <w:pPr>
              <w:pStyle w:val="TableRowCentered"/>
              <w:jc w:val="left"/>
              <w:rPr>
                <w:color w:val="auto"/>
                <w:szCs w:val="22"/>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D9006" w14:textId="25D7B8B1" w:rsidR="0005422A" w:rsidRDefault="003B4A1C" w:rsidP="0005422A">
            <w:pPr>
              <w:pStyle w:val="TableRowCentered"/>
              <w:jc w:val="left"/>
              <w:rPr>
                <w:sz w:val="22"/>
              </w:rPr>
            </w:pPr>
            <w:r>
              <w:rPr>
                <w:sz w:val="22"/>
              </w:rPr>
              <w:t>1, 5, 6</w:t>
            </w:r>
          </w:p>
        </w:tc>
      </w:tr>
      <w:tr w:rsidR="00F11AFC" w14:paraId="2B4EFB95" w14:textId="77777777" w:rsidTr="00F11AF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88E8D" w14:textId="38C7AAEC" w:rsidR="00F11AFC" w:rsidRPr="00E27862" w:rsidRDefault="00674787" w:rsidP="00F11AFC">
            <w:pPr>
              <w:suppressAutoHyphens w:val="0"/>
              <w:autoSpaceDN/>
              <w:spacing w:before="60" w:after="60" w:line="240" w:lineRule="auto"/>
              <w:ind w:left="29" w:right="57"/>
              <w:rPr>
                <w:iCs/>
                <w:color w:val="auto"/>
                <w:szCs w:val="28"/>
                <w:lang w:val="en-US"/>
              </w:rPr>
            </w:pPr>
            <w:r>
              <w:rPr>
                <w:sz w:val="22"/>
                <w:szCs w:val="22"/>
              </w:rPr>
              <w:t>F</w:t>
            </w:r>
            <w:r w:rsidR="00F11AFC" w:rsidRPr="00190B93">
              <w:rPr>
                <w:sz w:val="22"/>
                <w:szCs w:val="22"/>
              </w:rPr>
              <w:t xml:space="preserve">ull-time Pastoral and safeguarding Manager </w:t>
            </w:r>
            <w:r w:rsidR="00F11AFC">
              <w:rPr>
                <w:sz w:val="22"/>
                <w:szCs w:val="22"/>
              </w:rPr>
              <w:t>to support families.</w:t>
            </w:r>
          </w:p>
        </w:tc>
        <w:tc>
          <w:tcPr>
            <w:tcW w:w="6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DA4EA" w14:textId="77777777" w:rsidR="00F11AFC" w:rsidRDefault="00F11AFC" w:rsidP="00F11AFC">
            <w:pPr>
              <w:pStyle w:val="TableRowCentered"/>
              <w:jc w:val="left"/>
              <w:rPr>
                <w:sz w:val="22"/>
                <w:szCs w:val="22"/>
              </w:rPr>
            </w:pPr>
            <w:r w:rsidRPr="00190B93">
              <w:rPr>
                <w:sz w:val="22"/>
                <w:szCs w:val="22"/>
              </w:rPr>
              <w:t xml:space="preserve">Ofsted’s research into </w:t>
            </w:r>
            <w:r>
              <w:rPr>
                <w:sz w:val="22"/>
                <w:szCs w:val="22"/>
              </w:rPr>
              <w:t>community relationships and EEF guidance on working with parents/carers.</w:t>
            </w:r>
          </w:p>
          <w:p w14:paraId="6D7C946C" w14:textId="77777777" w:rsidR="00F11AFC" w:rsidRDefault="00F11AFC" w:rsidP="00F11AFC">
            <w:pPr>
              <w:pStyle w:val="TableRowCentered"/>
              <w:jc w:val="left"/>
              <w:rPr>
                <w:sz w:val="22"/>
                <w:szCs w:val="22"/>
              </w:rPr>
            </w:pPr>
          </w:p>
          <w:p w14:paraId="7B418140" w14:textId="5F56F755" w:rsidR="00F11AFC" w:rsidRPr="00E27862" w:rsidRDefault="00021659" w:rsidP="00F11AFC">
            <w:pPr>
              <w:pStyle w:val="TableRowCentered"/>
              <w:ind w:left="32"/>
              <w:jc w:val="left"/>
              <w:rPr>
                <w:color w:val="auto"/>
              </w:rPr>
            </w:pPr>
            <w:hyperlink r:id="rId31" w:history="1">
              <w:r w:rsidR="00F11AFC" w:rsidRPr="006524F6">
                <w:rPr>
                  <w:rStyle w:val="Hyperlink"/>
                  <w:sz w:val="22"/>
                  <w:szCs w:val="22"/>
                </w:rPr>
                <w:t>https://educationendowmentfoundation.org.uk/education-evidence/guidance-reports/supporting-parents</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5FC6" w14:textId="06043DD4" w:rsidR="00F11AFC" w:rsidRDefault="00F11AFC" w:rsidP="00F11AFC">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6033AB22" w:rsidR="00E66558" w:rsidRDefault="009D71E8" w:rsidP="00120AB1">
      <w:r w:rsidRPr="00685149">
        <w:rPr>
          <w:b/>
          <w:bCs/>
          <w:color w:val="104F75"/>
          <w:sz w:val="28"/>
          <w:szCs w:val="28"/>
        </w:rPr>
        <w:t xml:space="preserve">Total budgeted cost: £ </w:t>
      </w:r>
      <w:r w:rsidR="00A46B40">
        <w:rPr>
          <w:b/>
          <w:bCs/>
          <w:color w:val="104F75"/>
          <w:sz w:val="28"/>
          <w:szCs w:val="28"/>
        </w:rPr>
        <w:t>3</w:t>
      </w:r>
      <w:r w:rsidR="00970610">
        <w:rPr>
          <w:b/>
          <w:bCs/>
          <w:color w:val="104F75"/>
          <w:sz w:val="28"/>
          <w:szCs w:val="28"/>
        </w:rPr>
        <w:t>1,500</w:t>
      </w:r>
      <w:r w:rsidR="00A46B40">
        <w:rPr>
          <w:b/>
          <w:bCs/>
          <w:color w:val="104F75"/>
          <w:sz w:val="28"/>
          <w:szCs w:val="28"/>
        </w:rPr>
        <w:t xml:space="preserve"> + £7,000 + £3</w:t>
      </w:r>
      <w:r w:rsidR="00970610">
        <w:rPr>
          <w:b/>
          <w:bCs/>
          <w:color w:val="104F75"/>
          <w:sz w:val="28"/>
          <w:szCs w:val="28"/>
        </w:rPr>
        <w:t>1,500</w:t>
      </w:r>
      <w:r w:rsidR="00893B66">
        <w:rPr>
          <w:b/>
          <w:bCs/>
          <w:color w:val="104F75"/>
          <w:sz w:val="28"/>
          <w:szCs w:val="28"/>
        </w:rPr>
        <w:t xml:space="preserve"> = £70,000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CDA6AD6" w:rsidR="00E66558" w:rsidRDefault="009D71E8">
      <w:r>
        <w:t>This details the impact that our pupil premium activity had on pupils in the 202</w:t>
      </w:r>
      <w:r w:rsidR="00987C74">
        <w:t>1</w:t>
      </w:r>
      <w:r>
        <w:t xml:space="preserve"> to 202</w:t>
      </w:r>
      <w:r w:rsidR="00987C74">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1161E" w14:textId="0C2F1216" w:rsidR="00314C41" w:rsidRPr="00595584" w:rsidRDefault="00314C41" w:rsidP="00A8285C">
            <w:r>
              <w:rPr>
                <w:b/>
                <w:bCs/>
              </w:rPr>
              <w:t>Gaps in learning identified</w:t>
            </w:r>
            <w:r w:rsidR="00B33F79">
              <w:rPr>
                <w:b/>
                <w:bCs/>
              </w:rPr>
              <w:t xml:space="preserve"> – </w:t>
            </w:r>
            <w:r w:rsidR="00B33F79" w:rsidRPr="00595584">
              <w:t>new assessments more clearly identified pupils’ starting points and, as a result, pupils’ learning needs were better met</w:t>
            </w:r>
            <w:r w:rsidR="00595584">
              <w:t xml:space="preserve"> and had improved outcomes</w:t>
            </w:r>
          </w:p>
          <w:p w14:paraId="4EC829E0" w14:textId="0D2CA562" w:rsidR="00314C41" w:rsidRDefault="00314C41" w:rsidP="00A8285C">
            <w:pPr>
              <w:rPr>
                <w:b/>
                <w:bCs/>
              </w:rPr>
            </w:pPr>
            <w:r>
              <w:rPr>
                <w:b/>
                <w:bCs/>
              </w:rPr>
              <w:t>Improved attendance</w:t>
            </w:r>
            <w:r w:rsidR="00B33F79">
              <w:rPr>
                <w:b/>
                <w:bCs/>
              </w:rPr>
              <w:t xml:space="preserve"> </w:t>
            </w:r>
            <w:r w:rsidR="00665D01">
              <w:rPr>
                <w:b/>
                <w:bCs/>
              </w:rPr>
              <w:t>–</w:t>
            </w:r>
            <w:r w:rsidR="00B33F79">
              <w:rPr>
                <w:b/>
                <w:bCs/>
              </w:rPr>
              <w:t xml:space="preserve"> </w:t>
            </w:r>
            <w:r w:rsidR="00665D01" w:rsidRPr="00665D01">
              <w:t>PP children</w:t>
            </w:r>
            <w:r w:rsidR="00884937">
              <w:t xml:space="preserve"> was 90.57% compared to 94.31% for non-pupil premium</w:t>
            </w:r>
            <w:r w:rsidR="00AD0EA4">
              <w:t>.</w:t>
            </w:r>
          </w:p>
          <w:p w14:paraId="1349F29B" w14:textId="7B39EE41" w:rsidR="00314C41" w:rsidRDefault="00314C41" w:rsidP="00A8285C">
            <w:pPr>
              <w:rPr>
                <w:b/>
                <w:bCs/>
              </w:rPr>
            </w:pPr>
            <w:r>
              <w:rPr>
                <w:b/>
                <w:bCs/>
              </w:rPr>
              <w:t>Improved wellbeing</w:t>
            </w:r>
            <w:r w:rsidR="00B33F79">
              <w:rPr>
                <w:b/>
                <w:bCs/>
              </w:rPr>
              <w:t xml:space="preserve"> - </w:t>
            </w:r>
            <w:r w:rsidR="004E5BD0">
              <w:t xml:space="preserve">Pupils are well supported in this regard at this school. Staff care for, </w:t>
            </w:r>
            <w:proofErr w:type="gramStart"/>
            <w:r w:rsidR="004E5BD0">
              <w:t>guide</w:t>
            </w:r>
            <w:proofErr w:type="gramEnd"/>
            <w:r w:rsidR="004E5BD0">
              <w:t xml:space="preserve"> and support all the children especially the most vulnerable. Pupils identified as needing further support to improve their well-being can attend the sunshine club and/or the sensory club. The impact of our strategies help</w:t>
            </w:r>
            <w:r w:rsidR="00C75DDE">
              <w:t>ed</w:t>
            </w:r>
            <w:r w:rsidR="004E5BD0">
              <w:t xml:space="preserve"> children become more settled, </w:t>
            </w:r>
            <w:r w:rsidR="00C75DDE">
              <w:t>improved social interactions and behaviours</w:t>
            </w:r>
          </w:p>
          <w:p w14:paraId="66FDE222" w14:textId="6E318765" w:rsidR="00314C41" w:rsidRPr="00B33F79" w:rsidRDefault="00314C41" w:rsidP="00A8285C">
            <w:r>
              <w:rPr>
                <w:b/>
                <w:bCs/>
              </w:rPr>
              <w:t>Improved phonic/reading attainment</w:t>
            </w:r>
            <w:r w:rsidR="00B33F79">
              <w:rPr>
                <w:b/>
                <w:bCs/>
              </w:rPr>
              <w:t xml:space="preserve"> – </w:t>
            </w:r>
            <w:r w:rsidR="00B33F79">
              <w:t xml:space="preserve">At the end of KS2, 9 disadvantaged pupils outperformed the other children in terms of progress and attainment in reading (89% and +5.32) above national and non-disadvantaged pupils. </w:t>
            </w:r>
          </w:p>
          <w:p w14:paraId="5BD44359" w14:textId="78002775" w:rsidR="00314C41" w:rsidRPr="00A60CE2" w:rsidRDefault="00314C41" w:rsidP="00A8285C">
            <w:r>
              <w:rPr>
                <w:b/>
                <w:bCs/>
              </w:rPr>
              <w:t>Improved cultural capital opportunities</w:t>
            </w:r>
            <w:r w:rsidR="00B33F79">
              <w:rPr>
                <w:b/>
                <w:bCs/>
              </w:rPr>
              <w:t xml:space="preserve"> – </w:t>
            </w:r>
            <w:r w:rsidR="00B33F79" w:rsidRPr="00A60CE2">
              <w:t>all children had equal opportunities to engage in extra-curricular sport, school responsibilities, residential trips, inter-school sporting competitions, choir at the Young Voices concert in Manchester Arena</w:t>
            </w:r>
          </w:p>
          <w:p w14:paraId="0F8F868E" w14:textId="5FF44BE2" w:rsidR="00A6200D" w:rsidRPr="004E5BD0" w:rsidRDefault="00314C41" w:rsidP="00A8285C">
            <w:r>
              <w:rPr>
                <w:b/>
                <w:bCs/>
              </w:rPr>
              <w:t>Diminishing of the ‘gap’</w:t>
            </w:r>
            <w:r w:rsidR="00B33F79">
              <w:rPr>
                <w:b/>
                <w:bCs/>
              </w:rPr>
              <w:t xml:space="preserve"> – </w:t>
            </w:r>
            <w:r w:rsidR="00B33F79" w:rsidRPr="004E5BD0">
              <w:t>in year 6 the gap in writing and mathematics</w:t>
            </w:r>
            <w:r w:rsidR="004E5BD0" w:rsidRPr="004E5BD0">
              <w:t xml:space="preserve"> did diminish and i</w:t>
            </w:r>
            <w:r w:rsidR="00011BA7" w:rsidRPr="004E5BD0">
              <w:t xml:space="preserve">n other year groups, </w:t>
            </w:r>
            <w:r w:rsidR="007F0A9E" w:rsidRPr="004E5BD0">
              <w:t>of the 35 pupils</w:t>
            </w:r>
            <w:r w:rsidR="003512D5" w:rsidRPr="004E5BD0">
              <w:t xml:space="preserve">, relative to their starting points, </w:t>
            </w:r>
            <w:r w:rsidR="002C2A80" w:rsidRPr="004E5BD0">
              <w:t>2</w:t>
            </w:r>
            <w:r w:rsidR="003512D5" w:rsidRPr="004E5BD0">
              <w:t xml:space="preserve">0% made </w:t>
            </w:r>
            <w:r w:rsidR="002C2A80" w:rsidRPr="004E5BD0">
              <w:t xml:space="preserve">good </w:t>
            </w:r>
            <w:r w:rsidR="003512D5" w:rsidRPr="004E5BD0">
              <w:t xml:space="preserve">progress or better in Reading, </w:t>
            </w:r>
            <w:r w:rsidR="0088098E" w:rsidRPr="004E5BD0">
              <w:t>23</w:t>
            </w:r>
            <w:r w:rsidR="00D2363A" w:rsidRPr="004E5BD0">
              <w:t xml:space="preserve">% in writing and </w:t>
            </w:r>
            <w:r w:rsidR="0088098E" w:rsidRPr="004E5BD0">
              <w:t>37</w:t>
            </w:r>
            <w:r w:rsidR="00B16D66" w:rsidRPr="004E5BD0">
              <w:t>% in mathematics.</w:t>
            </w:r>
            <w:r w:rsidR="007556D2" w:rsidRPr="004E5BD0">
              <w:t xml:space="preserve"> </w:t>
            </w:r>
          </w:p>
          <w:p w14:paraId="2A7D5546" w14:textId="229DA893" w:rsidR="00E66558" w:rsidRDefault="004E5BD0" w:rsidP="00386CB0">
            <w:pPr>
              <w:spacing w:line="276" w:lineRule="auto"/>
            </w:pPr>
            <w:r>
              <w:t>Overall, t</w:t>
            </w:r>
            <w:r w:rsidR="009B32BB">
              <w:t xml:space="preserve">here was some </w:t>
            </w:r>
            <w:r w:rsidR="0096049D">
              <w:t>achievement for our disadvantaged pupils</w:t>
            </w:r>
            <w:r w:rsidR="006C4980">
              <w:t xml:space="preserve">, </w:t>
            </w:r>
            <w:r>
              <w:t xml:space="preserve">however, </w:t>
            </w:r>
            <w:r w:rsidR="00945620">
              <w:t>they did not reach the heights that we had hoped for. In part, we attribute</w:t>
            </w:r>
            <w:r w:rsidR="00DE3F87">
              <w:t xml:space="preserve"> some of this to the </w:t>
            </w:r>
            <w:r w:rsidR="006C4980">
              <w:t>impact</w:t>
            </w:r>
            <w:r w:rsidR="00DE3F87">
              <w:t xml:space="preserve"> of COVID</w:t>
            </w:r>
            <w:r w:rsidR="00AB1DA6">
              <w:t>.</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F80B4F"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9538E28" w:rsidR="00F80B4F" w:rsidRDefault="00F80B4F" w:rsidP="00F80B4F">
            <w:pPr>
              <w:pStyle w:val="TableRow"/>
            </w:pPr>
            <w:r>
              <w:t xml:space="preserve">Computing, </w:t>
            </w:r>
            <w:proofErr w:type="gramStart"/>
            <w:r>
              <w:t>Art</w:t>
            </w:r>
            <w:proofErr w:type="gramEnd"/>
            <w:r>
              <w:t xml:space="preserve"> and DT schemes of work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5815C16" w:rsidR="00F80B4F" w:rsidRDefault="00F80B4F" w:rsidP="00F80B4F">
            <w:pPr>
              <w:pStyle w:val="TableRowCentered"/>
              <w:jc w:val="left"/>
            </w:pPr>
            <w:r>
              <w:t>Kapow</w:t>
            </w:r>
          </w:p>
        </w:tc>
      </w:tr>
      <w:tr w:rsidR="00F80B4F"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EB6A3BD" w:rsidR="00F80B4F" w:rsidRDefault="00F80B4F" w:rsidP="00F80B4F">
            <w:pPr>
              <w:pStyle w:val="TableRow"/>
            </w:pPr>
            <w:r>
              <w:t>RE scheme of work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FB46B25" w:rsidR="00F80B4F" w:rsidRDefault="00F80B4F" w:rsidP="00F80B4F">
            <w:pPr>
              <w:pStyle w:val="TableRowCentered"/>
              <w:jc w:val="left"/>
            </w:pPr>
            <w:r>
              <w:t xml:space="preserve">Ten </w:t>
            </w:r>
            <w:proofErr w:type="spellStart"/>
            <w:r>
              <w:t>Ten</w:t>
            </w:r>
            <w:proofErr w:type="spellEnd"/>
          </w:p>
        </w:tc>
      </w:tr>
      <w:tr w:rsidR="00F80B4F" w14:paraId="3A3CA9F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8C6D" w14:textId="677F29FB" w:rsidR="00F80B4F" w:rsidRDefault="00F80B4F" w:rsidP="00F80B4F">
            <w:pPr>
              <w:pStyle w:val="TableRow"/>
            </w:pPr>
            <w:r>
              <w:t xml:space="preserve">Current affairs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F145B" w14:textId="147A5D39" w:rsidR="00F80B4F" w:rsidRDefault="00F80B4F" w:rsidP="00F80B4F">
            <w:pPr>
              <w:pStyle w:val="TableRowCentered"/>
              <w:jc w:val="left"/>
            </w:pPr>
            <w:r>
              <w:t>Picture News</w:t>
            </w:r>
          </w:p>
        </w:tc>
      </w:tr>
      <w:tr w:rsidR="003B5672" w14:paraId="338A337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07D50" w14:textId="2D399F38" w:rsidR="003B5672" w:rsidRDefault="003B5672" w:rsidP="00F80B4F">
            <w:pPr>
              <w:pStyle w:val="TableRow"/>
            </w:pPr>
            <w:r>
              <w:t>Music</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2CDF" w14:textId="5778A0B2" w:rsidR="003B5672" w:rsidRDefault="003B5672" w:rsidP="00F80B4F">
            <w:pPr>
              <w:pStyle w:val="TableRowCentered"/>
              <w:jc w:val="left"/>
            </w:pPr>
            <w:r>
              <w:t>Charanga</w:t>
            </w:r>
          </w:p>
        </w:tc>
      </w:tr>
      <w:tr w:rsidR="003B5672" w14:paraId="15937AD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2368" w14:textId="313B0ECB" w:rsidR="003B5672" w:rsidRDefault="003B5672" w:rsidP="00F80B4F">
            <w:pPr>
              <w:pStyle w:val="TableRow"/>
            </w:pPr>
            <w:r>
              <w:t>Science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A4770" w14:textId="5BFF4756" w:rsidR="003B5672" w:rsidRDefault="003B5672" w:rsidP="00F80B4F">
            <w:pPr>
              <w:pStyle w:val="TableRowCentered"/>
              <w:jc w:val="left"/>
            </w:pPr>
            <w:proofErr w:type="spellStart"/>
            <w:r>
              <w:t>Pzaz</w:t>
            </w:r>
            <w:proofErr w:type="spellEnd"/>
          </w:p>
        </w:tc>
      </w:tr>
    </w:tbl>
    <w:p w14:paraId="2A7D5554" w14:textId="06C8BD4D" w:rsidR="00E66558" w:rsidRPr="006573B7" w:rsidRDefault="00E66558" w:rsidP="006573B7">
      <w:pPr>
        <w:pStyle w:val="Heading2"/>
        <w:spacing w:before="600"/>
      </w:pPr>
    </w:p>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32"/>
      <w:footerReference w:type="default" r:id="rId3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F83F" w14:textId="77777777" w:rsidR="00633F2E" w:rsidRDefault="00633F2E">
      <w:pPr>
        <w:spacing w:after="0" w:line="240" w:lineRule="auto"/>
      </w:pPr>
      <w:r>
        <w:separator/>
      </w:r>
    </w:p>
  </w:endnote>
  <w:endnote w:type="continuationSeparator" w:id="0">
    <w:p w14:paraId="48D7DD67" w14:textId="77777777" w:rsidR="00633F2E" w:rsidRDefault="0063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B32A" w14:textId="77777777" w:rsidR="00633F2E" w:rsidRDefault="00633F2E">
      <w:pPr>
        <w:spacing w:after="0" w:line="240" w:lineRule="auto"/>
      </w:pPr>
      <w:r>
        <w:separator/>
      </w:r>
    </w:p>
  </w:footnote>
  <w:footnote w:type="continuationSeparator" w:id="0">
    <w:p w14:paraId="654F1AE8" w14:textId="77777777" w:rsidR="00633F2E" w:rsidRDefault="00633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21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9E7"/>
    <w:multiLevelType w:val="hybridMultilevel"/>
    <w:tmpl w:val="2C0C38A0"/>
    <w:lvl w:ilvl="0" w:tplc="C03090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4621DD1"/>
    <w:multiLevelType w:val="hybridMultilevel"/>
    <w:tmpl w:val="2138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5"/>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1BA7"/>
    <w:rsid w:val="000126A1"/>
    <w:rsid w:val="000137C0"/>
    <w:rsid w:val="0004571B"/>
    <w:rsid w:val="0005422A"/>
    <w:rsid w:val="00056305"/>
    <w:rsid w:val="00062DCE"/>
    <w:rsid w:val="00066B73"/>
    <w:rsid w:val="000825D5"/>
    <w:rsid w:val="00084EBE"/>
    <w:rsid w:val="000A3EF9"/>
    <w:rsid w:val="000E2265"/>
    <w:rsid w:val="00120AB1"/>
    <w:rsid w:val="00121A5E"/>
    <w:rsid w:val="00130D5A"/>
    <w:rsid w:val="00136D11"/>
    <w:rsid w:val="00161C71"/>
    <w:rsid w:val="001979F1"/>
    <w:rsid w:val="001A6224"/>
    <w:rsid w:val="001A7A7F"/>
    <w:rsid w:val="001B3A73"/>
    <w:rsid w:val="001C09BF"/>
    <w:rsid w:val="001C3A0D"/>
    <w:rsid w:val="001C4AA5"/>
    <w:rsid w:val="001F74ED"/>
    <w:rsid w:val="00223DD1"/>
    <w:rsid w:val="002243A4"/>
    <w:rsid w:val="00231AD5"/>
    <w:rsid w:val="0025057D"/>
    <w:rsid w:val="00271837"/>
    <w:rsid w:val="002769B2"/>
    <w:rsid w:val="002A6AE9"/>
    <w:rsid w:val="002C2A80"/>
    <w:rsid w:val="002D4665"/>
    <w:rsid w:val="002E6D50"/>
    <w:rsid w:val="002F2F53"/>
    <w:rsid w:val="002F40B6"/>
    <w:rsid w:val="00314C41"/>
    <w:rsid w:val="003316CD"/>
    <w:rsid w:val="003333F3"/>
    <w:rsid w:val="00333402"/>
    <w:rsid w:val="003512D5"/>
    <w:rsid w:val="00356949"/>
    <w:rsid w:val="00373F04"/>
    <w:rsid w:val="00376715"/>
    <w:rsid w:val="00386CB0"/>
    <w:rsid w:val="003A383F"/>
    <w:rsid w:val="003B47BE"/>
    <w:rsid w:val="003B4A1C"/>
    <w:rsid w:val="003B5672"/>
    <w:rsid w:val="003D2C62"/>
    <w:rsid w:val="003E04DC"/>
    <w:rsid w:val="003E524A"/>
    <w:rsid w:val="003E73E1"/>
    <w:rsid w:val="003F330D"/>
    <w:rsid w:val="004044AA"/>
    <w:rsid w:val="0041006A"/>
    <w:rsid w:val="00411DE5"/>
    <w:rsid w:val="00415426"/>
    <w:rsid w:val="0042021B"/>
    <w:rsid w:val="004439BD"/>
    <w:rsid w:val="00443CFF"/>
    <w:rsid w:val="00455C93"/>
    <w:rsid w:val="00456D97"/>
    <w:rsid w:val="004670CA"/>
    <w:rsid w:val="00475895"/>
    <w:rsid w:val="004D5585"/>
    <w:rsid w:val="004D650D"/>
    <w:rsid w:val="004E5BD0"/>
    <w:rsid w:val="004F2C6D"/>
    <w:rsid w:val="005105F9"/>
    <w:rsid w:val="005220BE"/>
    <w:rsid w:val="005364C5"/>
    <w:rsid w:val="0056130B"/>
    <w:rsid w:val="00561459"/>
    <w:rsid w:val="00595584"/>
    <w:rsid w:val="005B3812"/>
    <w:rsid w:val="005C5C4F"/>
    <w:rsid w:val="005F385D"/>
    <w:rsid w:val="00601C96"/>
    <w:rsid w:val="00625921"/>
    <w:rsid w:val="00633F2E"/>
    <w:rsid w:val="00634402"/>
    <w:rsid w:val="00635135"/>
    <w:rsid w:val="006573B7"/>
    <w:rsid w:val="00665D01"/>
    <w:rsid w:val="00674787"/>
    <w:rsid w:val="00676B24"/>
    <w:rsid w:val="00685149"/>
    <w:rsid w:val="006C4980"/>
    <w:rsid w:val="006D222C"/>
    <w:rsid w:val="006D3782"/>
    <w:rsid w:val="006E1113"/>
    <w:rsid w:val="006E7FB1"/>
    <w:rsid w:val="006F456A"/>
    <w:rsid w:val="006F5845"/>
    <w:rsid w:val="007145AB"/>
    <w:rsid w:val="00741B9E"/>
    <w:rsid w:val="00746EA6"/>
    <w:rsid w:val="00755466"/>
    <w:rsid w:val="007556D2"/>
    <w:rsid w:val="00771D68"/>
    <w:rsid w:val="00782BBE"/>
    <w:rsid w:val="0078489A"/>
    <w:rsid w:val="00785F14"/>
    <w:rsid w:val="007C2F04"/>
    <w:rsid w:val="007D0413"/>
    <w:rsid w:val="007D5E50"/>
    <w:rsid w:val="007F0A9E"/>
    <w:rsid w:val="007F6F1B"/>
    <w:rsid w:val="007F7E40"/>
    <w:rsid w:val="0082596F"/>
    <w:rsid w:val="008454D5"/>
    <w:rsid w:val="008753F1"/>
    <w:rsid w:val="0088098E"/>
    <w:rsid w:val="00884937"/>
    <w:rsid w:val="00893B66"/>
    <w:rsid w:val="008A3FFF"/>
    <w:rsid w:val="008C0791"/>
    <w:rsid w:val="008D1600"/>
    <w:rsid w:val="008E683E"/>
    <w:rsid w:val="008F45AC"/>
    <w:rsid w:val="008F5DCD"/>
    <w:rsid w:val="00900724"/>
    <w:rsid w:val="00901CCC"/>
    <w:rsid w:val="00911A51"/>
    <w:rsid w:val="00916396"/>
    <w:rsid w:val="00924FCA"/>
    <w:rsid w:val="00945620"/>
    <w:rsid w:val="00952037"/>
    <w:rsid w:val="0096049D"/>
    <w:rsid w:val="00970610"/>
    <w:rsid w:val="009803F2"/>
    <w:rsid w:val="00987C74"/>
    <w:rsid w:val="0099633E"/>
    <w:rsid w:val="009A0034"/>
    <w:rsid w:val="009A5C47"/>
    <w:rsid w:val="009B32BB"/>
    <w:rsid w:val="009C282A"/>
    <w:rsid w:val="009D08DC"/>
    <w:rsid w:val="009D71E8"/>
    <w:rsid w:val="009E1A24"/>
    <w:rsid w:val="00A0305B"/>
    <w:rsid w:val="00A15795"/>
    <w:rsid w:val="00A25756"/>
    <w:rsid w:val="00A31A92"/>
    <w:rsid w:val="00A41D42"/>
    <w:rsid w:val="00A46B40"/>
    <w:rsid w:val="00A60CE2"/>
    <w:rsid w:val="00A6200D"/>
    <w:rsid w:val="00A82602"/>
    <w:rsid w:val="00A8285C"/>
    <w:rsid w:val="00A85106"/>
    <w:rsid w:val="00A85222"/>
    <w:rsid w:val="00A866CF"/>
    <w:rsid w:val="00A9738D"/>
    <w:rsid w:val="00AA4201"/>
    <w:rsid w:val="00AB1DA6"/>
    <w:rsid w:val="00AD0EA4"/>
    <w:rsid w:val="00AD4FA8"/>
    <w:rsid w:val="00AD7E95"/>
    <w:rsid w:val="00AF0744"/>
    <w:rsid w:val="00B04C77"/>
    <w:rsid w:val="00B16CE5"/>
    <w:rsid w:val="00B16D66"/>
    <w:rsid w:val="00B224A5"/>
    <w:rsid w:val="00B22BE5"/>
    <w:rsid w:val="00B33F79"/>
    <w:rsid w:val="00B43888"/>
    <w:rsid w:val="00B90B7B"/>
    <w:rsid w:val="00BA3044"/>
    <w:rsid w:val="00C017A5"/>
    <w:rsid w:val="00C525EA"/>
    <w:rsid w:val="00C75DDE"/>
    <w:rsid w:val="00C76266"/>
    <w:rsid w:val="00CA67D5"/>
    <w:rsid w:val="00CD2D2B"/>
    <w:rsid w:val="00CD43BD"/>
    <w:rsid w:val="00CE765F"/>
    <w:rsid w:val="00CF4763"/>
    <w:rsid w:val="00CF7944"/>
    <w:rsid w:val="00D13198"/>
    <w:rsid w:val="00D2363A"/>
    <w:rsid w:val="00D251F1"/>
    <w:rsid w:val="00D33FE5"/>
    <w:rsid w:val="00D358F6"/>
    <w:rsid w:val="00D410FF"/>
    <w:rsid w:val="00D54733"/>
    <w:rsid w:val="00D70E94"/>
    <w:rsid w:val="00D8394D"/>
    <w:rsid w:val="00DA5327"/>
    <w:rsid w:val="00DA6D53"/>
    <w:rsid w:val="00DB0F50"/>
    <w:rsid w:val="00DB449E"/>
    <w:rsid w:val="00DB6AE3"/>
    <w:rsid w:val="00DC451C"/>
    <w:rsid w:val="00DC4E2F"/>
    <w:rsid w:val="00DC71E7"/>
    <w:rsid w:val="00DD079D"/>
    <w:rsid w:val="00DE3F87"/>
    <w:rsid w:val="00DF13E3"/>
    <w:rsid w:val="00DF4F04"/>
    <w:rsid w:val="00E0452F"/>
    <w:rsid w:val="00E07419"/>
    <w:rsid w:val="00E12EB6"/>
    <w:rsid w:val="00E40345"/>
    <w:rsid w:val="00E55DF4"/>
    <w:rsid w:val="00E66558"/>
    <w:rsid w:val="00E90129"/>
    <w:rsid w:val="00E96E1F"/>
    <w:rsid w:val="00EA1935"/>
    <w:rsid w:val="00ED1411"/>
    <w:rsid w:val="00ED7EE9"/>
    <w:rsid w:val="00F00AB1"/>
    <w:rsid w:val="00F06FAB"/>
    <w:rsid w:val="00F11AFC"/>
    <w:rsid w:val="00F20306"/>
    <w:rsid w:val="00F42998"/>
    <w:rsid w:val="00F466F3"/>
    <w:rsid w:val="00F475A5"/>
    <w:rsid w:val="00F62A57"/>
    <w:rsid w:val="00F7290A"/>
    <w:rsid w:val="00F80B4F"/>
    <w:rsid w:val="00F95C76"/>
    <w:rsid w:val="00FA31D8"/>
    <w:rsid w:val="00FB6CE6"/>
    <w:rsid w:val="00FB7430"/>
    <w:rsid w:val="00FC276C"/>
    <w:rsid w:val="00FE68AD"/>
    <w:rsid w:val="00FF6257"/>
    <w:rsid w:val="00FF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79"/>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5B3812"/>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5B3812"/>
    <w:rPr>
      <w:b/>
      <w:bCs/>
    </w:rPr>
  </w:style>
  <w:style w:type="paragraph" w:customStyle="1" w:styleId="sqsrte-large">
    <w:name w:val="sqsrte-large"/>
    <w:basedOn w:val="Normal"/>
    <w:rsid w:val="00E96E1F"/>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3644">
      <w:bodyDiv w:val="1"/>
      <w:marLeft w:val="0"/>
      <w:marRight w:val="0"/>
      <w:marTop w:val="0"/>
      <w:marBottom w:val="0"/>
      <w:divBdr>
        <w:top w:val="none" w:sz="0" w:space="0" w:color="auto"/>
        <w:left w:val="none" w:sz="0" w:space="0" w:color="auto"/>
        <w:bottom w:val="none" w:sz="0" w:space="0" w:color="auto"/>
        <w:right w:val="none" w:sz="0" w:space="0" w:color="auto"/>
      </w:divBdr>
    </w:div>
    <w:div w:id="229197020">
      <w:bodyDiv w:val="1"/>
      <w:marLeft w:val="0"/>
      <w:marRight w:val="0"/>
      <w:marTop w:val="0"/>
      <w:marBottom w:val="0"/>
      <w:divBdr>
        <w:top w:val="none" w:sz="0" w:space="0" w:color="auto"/>
        <w:left w:val="none" w:sz="0" w:space="0" w:color="auto"/>
        <w:bottom w:val="none" w:sz="0" w:space="0" w:color="auto"/>
        <w:right w:val="none" w:sz="0" w:space="0" w:color="auto"/>
      </w:divBdr>
    </w:div>
    <w:div w:id="431823776">
      <w:bodyDiv w:val="1"/>
      <w:marLeft w:val="0"/>
      <w:marRight w:val="0"/>
      <w:marTop w:val="0"/>
      <w:marBottom w:val="0"/>
      <w:divBdr>
        <w:top w:val="none" w:sz="0" w:space="0" w:color="auto"/>
        <w:left w:val="none" w:sz="0" w:space="0" w:color="auto"/>
        <w:bottom w:val="none" w:sz="0" w:space="0" w:color="auto"/>
        <w:right w:val="none" w:sz="0" w:space="0" w:color="auto"/>
      </w:divBdr>
    </w:div>
    <w:div w:id="1185747301">
      <w:bodyDiv w:val="1"/>
      <w:marLeft w:val="0"/>
      <w:marRight w:val="0"/>
      <w:marTop w:val="0"/>
      <w:marBottom w:val="0"/>
      <w:divBdr>
        <w:top w:val="none" w:sz="0" w:space="0" w:color="auto"/>
        <w:left w:val="none" w:sz="0" w:space="0" w:color="auto"/>
        <w:bottom w:val="none" w:sz="0" w:space="0" w:color="auto"/>
        <w:right w:val="none" w:sz="0" w:space="0" w:color="auto"/>
      </w:divBdr>
    </w:div>
    <w:div w:id="1260679370">
      <w:bodyDiv w:val="1"/>
      <w:marLeft w:val="0"/>
      <w:marRight w:val="0"/>
      <w:marTop w:val="0"/>
      <w:marBottom w:val="0"/>
      <w:divBdr>
        <w:top w:val="none" w:sz="0" w:space="0" w:color="auto"/>
        <w:left w:val="none" w:sz="0" w:space="0" w:color="auto"/>
        <w:bottom w:val="none" w:sz="0" w:space="0" w:color="auto"/>
        <w:right w:val="none" w:sz="0" w:space="0" w:color="auto"/>
      </w:divBdr>
    </w:div>
    <w:div w:id="1459757379">
      <w:bodyDiv w:val="1"/>
      <w:marLeft w:val="0"/>
      <w:marRight w:val="0"/>
      <w:marTop w:val="0"/>
      <w:marBottom w:val="0"/>
      <w:divBdr>
        <w:top w:val="none" w:sz="0" w:space="0" w:color="auto"/>
        <w:left w:val="none" w:sz="0" w:space="0" w:color="auto"/>
        <w:bottom w:val="none" w:sz="0" w:space="0" w:color="auto"/>
        <w:right w:val="none" w:sz="0" w:space="0" w:color="auto"/>
      </w:divBdr>
    </w:div>
    <w:div w:id="1593514731">
      <w:bodyDiv w:val="1"/>
      <w:marLeft w:val="0"/>
      <w:marRight w:val="0"/>
      <w:marTop w:val="0"/>
      <w:marBottom w:val="0"/>
      <w:divBdr>
        <w:top w:val="none" w:sz="0" w:space="0" w:color="auto"/>
        <w:left w:val="none" w:sz="0" w:space="0" w:color="auto"/>
        <w:bottom w:val="none" w:sz="0" w:space="0" w:color="auto"/>
        <w:right w:val="none" w:sz="0" w:space="0" w:color="auto"/>
      </w:divBdr>
    </w:div>
    <w:div w:id="1753774207">
      <w:bodyDiv w:val="1"/>
      <w:marLeft w:val="0"/>
      <w:marRight w:val="0"/>
      <w:marTop w:val="0"/>
      <w:marBottom w:val="0"/>
      <w:divBdr>
        <w:top w:val="none" w:sz="0" w:space="0" w:color="auto"/>
        <w:left w:val="none" w:sz="0" w:space="0" w:color="auto"/>
        <w:bottom w:val="none" w:sz="0" w:space="0" w:color="auto"/>
        <w:right w:val="none" w:sz="0" w:space="0" w:color="auto"/>
      </w:divBdr>
    </w:div>
    <w:div w:id="210976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ducationendowmentfoundation.org.uk/public/files/Publications/Behaviour/EEF_Improving_behaviour_in_schools_Report.pdf" TargetMode="External"/><Relationship Id="rId18" Type="http://schemas.openxmlformats.org/officeDocument/2006/relationships/hyperlink" Target="https://educationendowmentfoundation.org.uk/education-evidence/guidance-reports/teaching-assistants" TargetMode="External"/><Relationship Id="rId26" Type="http://schemas.openxmlformats.org/officeDocument/2006/relationships/hyperlink" Target="https://educationendowmentfoundation.org.uk/support-for-schools/school-improvement-planning/3-wider-strategies.%20"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mastery-learning" TargetMode="External"/><Relationship Id="rId34" Type="http://schemas.openxmlformats.org/officeDocument/2006/relationships/fontTable" Target="fontTable.xml"/><Relationship Id="rId7" Type="http://schemas.openxmlformats.org/officeDocument/2006/relationships/hyperlink" Target="https://educationendowmentfoundation.org.uk/public/files/Diagnostic_Assessment_Tool.pdf" TargetMode="External"/><Relationship Id="rId12" Type="http://schemas.openxmlformats.org/officeDocument/2006/relationships/hyperlink" Target="https://www.eif.org.uk/report/adverse-childhood-experiences-what-we-know-what-we-dont-know-and-what-should-happen-next" TargetMode="External"/><Relationship Id="rId17" Type="http://schemas.openxmlformats.org/officeDocument/2006/relationships/hyperlink" Target="https://www.gov.uk/government/publications/research-review-series-mathematics/research-review-series-mathematics" TargetMode="External"/><Relationship Id="rId25" Type="http://schemas.openxmlformats.org/officeDocument/2006/relationships/hyperlink" Target="https://www.gov.uk/government/publications/school-attendance/framework-for-securing-full-attendance-actions-for-schools-and-local-authoritie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mastery-learning" TargetMode="External"/><Relationship Id="rId20" Type="http://schemas.openxmlformats.org/officeDocument/2006/relationships/hyperlink" Target="https://assets.publishing.service.gov.uk/government/uploads/system/uploads/attachment_data/file/1017683/Maths_guidance_KS_1_and_2.pdf" TargetMode="External"/><Relationship Id="rId29" Type="http://schemas.openxmlformats.org/officeDocument/2006/relationships/hyperlink" Target="https://educationendowmentfoundation.org.uk/education-evidence/teaching-learning-toolkit/behaviour-interven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SEL/EEF_Social_and_Emotional_Learning.pdf" TargetMode="External"/><Relationship Id="rId24" Type="http://schemas.openxmlformats.org/officeDocument/2006/relationships/hyperlink" Target="https://educationendowmentfoundation.org.uk/projects-and-evaluation/projects/helping-handwriting-shin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1017683/Maths_guidance_KS_1_and_2.pdf" TargetMode="External"/><Relationship Id="rId23" Type="http://schemas.openxmlformats.org/officeDocument/2006/relationships/hyperlink" Target="https://assets.publishing.service.gov.uk/government/uploads/system/uploads/attachment_data/file/183399/DFE-RR238.pdf" TargetMode="External"/><Relationship Id="rId28"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educationendowmentfoundation.org.uk/education-evidence/guidance-reports/literacy-ks-1" TargetMode="External"/><Relationship Id="rId19" Type="http://schemas.openxmlformats.org/officeDocument/2006/relationships/hyperlink" Target="https://educationendowmentfoundation.org.uk/evidence-summaries/teaching-learning-toolkit/phonics/" TargetMode="External"/><Relationship Id="rId31" Type="http://schemas.openxmlformats.org/officeDocument/2006/relationships/hyperlink" Target="https://educationendowmentfoundation.org.uk/education-evidence/guidance-reports/supporting-parent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phonics" TargetMode="External"/><Relationship Id="rId14" Type="http://schemas.openxmlformats.org/officeDocument/2006/relationships/hyperlink" Target="https://www.educationdesty.com/desty-pilot" TargetMode="External"/><Relationship Id="rId22" Type="http://schemas.openxmlformats.org/officeDocument/2006/relationships/hyperlink" Target="https://www.gov.uk/government/publications/research-review-series-mathematics/research-review-series-mathematics" TargetMode="External"/><Relationship Id="rId27" Type="http://schemas.openxmlformats.org/officeDocument/2006/relationships/hyperlink" Target="https://www.centreforsocialjustice.org.uk/wp-content/uploads/2021/06/Cant_Catch_Up_FULL-REPORT.pdf" TargetMode="External"/><Relationship Id="rId30" Type="http://schemas.openxmlformats.org/officeDocument/2006/relationships/hyperlink" Target="https://www.educationdesty.com/desty-island" TargetMode="External"/><Relationship Id="rId35" Type="http://schemas.openxmlformats.org/officeDocument/2006/relationships/theme" Target="theme/theme1.xml"/><Relationship Id="rId8" Type="http://schemas.openxmlformats.org/officeDocument/2006/relationships/hyperlink" Target="https://assets.publishing.service.gov.uk/government/uploads/system/uploads/attachment_data/file/1000986/Reading_framework_Teaching_the_foundations_of_literacy_-_Jul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John Daley</cp:lastModifiedBy>
  <cp:revision>2</cp:revision>
  <cp:lastPrinted>2022-11-22T09:16:00Z</cp:lastPrinted>
  <dcterms:created xsi:type="dcterms:W3CDTF">2022-12-21T12:14:00Z</dcterms:created>
  <dcterms:modified xsi:type="dcterms:W3CDTF">2022-12-21T12:14:00Z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